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r>
        <w:rPr>
          <w:rFonts w:hint="default" w:ascii="Times New Roman" w:hAnsi="Times New Roman" w:cs="Times New Roman"/>
          <w:sz w:val="32"/>
          <w:szCs w:val="32"/>
        </w:rPr>
        <w:pict>
          <v:shape id="1026" o:spid="_x0000_s2052" o:spt="136" type="#_x0000_t136" style="position:absolute;left:0pt;margin-left:0pt;margin-top:20.5pt;height:61.2pt;width:441.7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九江市浔阳区人民政府办公室文件" style="font-family:华文中宋;font-size:36pt;v-text-align:center;"/>
          </v:shape>
        </w:pict>
      </w: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仿宋_GB2312" w:cs="Times New Roman"/>
          <w:sz w:val="32"/>
          <w:szCs w:val="32"/>
        </w:rPr>
      </w:pPr>
      <w:bookmarkStart w:id="0" w:name="_GoBack"/>
    </w:p>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浔府办</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autoSpaceDE/>
        <w:autoSpaceDN/>
        <w:bidi w:val="0"/>
        <w:adjustRightInd/>
        <w:snapToGrid/>
        <w:spacing w:after="0" w:line="536" w:lineRule="exact"/>
        <w:jc w:val="center"/>
        <w:textAlignment w:val="auto"/>
        <w:rPr>
          <w:rFonts w:hint="default" w:ascii="Times New Roman" w:hAnsi="Times New Roman" w:eastAsia="方正仿宋简体" w:cs="Times New Roman"/>
          <w:color w:val="000000"/>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113030</wp:posOffset>
                </wp:positionV>
                <wp:extent cx="5598160" cy="0"/>
                <wp:effectExtent l="0" t="0" r="0" b="0"/>
                <wp:wrapNone/>
                <wp:docPr id="3" name="1027"/>
                <wp:cNvGraphicFramePr/>
                <a:graphic xmlns:a="http://schemas.openxmlformats.org/drawingml/2006/main">
                  <a:graphicData uri="http://schemas.microsoft.com/office/word/2010/wordprocessingShape">
                    <wps:wsp>
                      <wps:cNvCnPr/>
                      <wps:spPr>
                        <a:xfrm>
                          <a:off x="0" y="0"/>
                          <a:ext cx="559816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1027" o:spid="_x0000_s1026" o:spt="20" style="position:absolute;left:0pt;margin-left:0pt;margin-top:8.9pt;height:0pt;width:440.8pt;z-index:251660288;mso-width-relative:page;mso-height-relative:page;" filled="f" stroked="t" coordsize="21600,21600" o:gfxdata="UEsDBAoAAAAAAIdO4kAAAAAAAAAAAAAAAAAEAAAAZHJzL1BLAwQUAAAACACHTuJAEAntAtMAAAAG&#10;AQAADwAAAGRycy9kb3ducmV2LnhtbE2PzU7DMBCE70i8g7VI3KiTHkoU4lRtVW5IiNCfqxsvcdR4&#10;HcVumr49izjAcWZWM98Wy8l1YsQhtJ4UpLMEBFLtTUuNgt3n61MGIkRNRneeUMENAyzL+7tC58Zf&#10;6QPHKjaCSyjkWoGNsc+lDLVFp8PM90icffnB6chyaKQZ9JXLXSfnSbKQTrfEC1b3uLFYn6uLUzAd&#10;spU9vsX11u/f7Xk6Vm6c35R6fEiTFxARp/h3DD/4jA4lM538hUwQnQJ+JLL7zPycZlm6AHH6NWRZ&#10;yP/45TdQSwMEFAAAAAgAh07iQBKKRGvjAQAA5gMAAA4AAABkcnMvZTJvRG9jLnhtbK1TTY/TMBC9&#10;I/EfLN9pkqLulqjpHraUC4JKwA+Y2k5iyV/yuE377xkn2bIslx7IwRl7xm/mvRlvni7WsLOKqL1r&#10;eLUoOVNOeKld1/BfP/cf1pxhAifBeKcaflXIn7bv322GUKul772RKjICcVgPoeF9SqEuChS9soAL&#10;H5QjZ+ujhUTb2BUywkDo1hTLsnwoBh9liF4oRDrdTU4+I8Z7AH3baqF2XpyscmlCjcpAIkrY64B8&#10;O1bbtkqk722LKjHTcGKaxpWSkH3Ma7HdQN1FCL0WcwlwTwlvOFnQjpLeoHaQgJ2i/gfKahE9+jYt&#10;hLfFRGRUhFhU5RttfvQQ1MiFpMZwEx3/H6z4dj5EpmXDP3LmwFLDq3L5mHUZAtbkfnaHOO8wHGIm&#10;eWmjzX8qn11GLa83LdUlMUGHq9WndfVAMosXX/HnYoiYvihvWTYabrTLNKGG81dMlIxCX0LysXFs&#10;aPhyvXpcER7Q0LXUbDJtoMLRdeNl9EbLvTYmX8HYHZ9NZGegxu/3JX2ZEwH/FZaz7AD7KW50TSPR&#10;K5CfnWTpGkgSRy+B5xqskpwZRQ8nWwQIdQJt7omk1MblC2ocy5loFnmSNVtHL6/UjlOIuutJmGqs&#10;OXuo/WP186jm+Xq9J/v189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AJ7QLTAAAABgEAAA8A&#10;AAAAAAAAAQAgAAAAIgAAAGRycy9kb3ducmV2LnhtbFBLAQIUABQAAAAIAIdO4kASikRr4wEAAOYD&#10;AAAOAAAAAAAAAAEAIAAAACIBAABkcnMvZTJvRG9jLnhtbFBLBQYAAAAABgAGAFkBAAB3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autoSpaceDE/>
        <w:autoSpaceDN/>
        <w:bidi w:val="0"/>
        <w:adjustRightInd/>
        <w:snapToGrid/>
        <w:spacing w:after="0" w:line="536" w:lineRule="exact"/>
        <w:jc w:val="center"/>
        <w:textAlignment w:val="auto"/>
        <w:rPr>
          <w:rFonts w:hint="default" w:ascii="Times New Roman" w:hAnsi="Times New Roman" w:cs="Times New Roman"/>
          <w:b/>
          <w:bCs/>
          <w:sz w:val="32"/>
          <w:szCs w:val="32"/>
        </w:rPr>
      </w:pPr>
    </w:p>
    <w:p>
      <w:pPr>
        <w:pStyle w:val="2"/>
        <w:keepNext w:val="0"/>
        <w:keepLines w:val="0"/>
        <w:pageBreakBefore w:val="0"/>
        <w:widowControl w:val="0"/>
        <w:kinsoku/>
        <w:wordWrap/>
        <w:overflowPunct/>
        <w:topLinePunct/>
        <w:autoSpaceDE/>
        <w:autoSpaceDN/>
        <w:bidi w:val="0"/>
        <w:adjustRightInd/>
        <w:snapToGrid/>
        <w:spacing w:after="0" w:line="53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浔阳区人民政府办公室</w:t>
      </w:r>
    </w:p>
    <w:p>
      <w:pPr>
        <w:pStyle w:val="2"/>
        <w:keepNext w:val="0"/>
        <w:keepLines w:val="0"/>
        <w:pageBreakBefore w:val="0"/>
        <w:widowControl w:val="0"/>
        <w:kinsoku/>
        <w:wordWrap/>
        <w:overflowPunct/>
        <w:topLinePunct/>
        <w:autoSpaceDE/>
        <w:autoSpaceDN/>
        <w:bidi w:val="0"/>
        <w:adjustRightInd/>
        <w:snapToGrid/>
        <w:spacing w:after="0" w:line="53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关于印发《</w:t>
      </w:r>
      <w:r>
        <w:rPr>
          <w:rFonts w:hint="eastAsia" w:ascii="方正小标宋_GBK" w:hAnsi="方正小标宋_GBK" w:eastAsia="方正小标宋_GBK" w:cs="方正小标宋_GBK"/>
          <w:b w:val="0"/>
          <w:bCs w:val="0"/>
          <w:sz w:val="44"/>
          <w:szCs w:val="44"/>
        </w:rPr>
        <w:t>浔阳区关于规范政府投资限额以下非必须招标工程项目发包方式的实施意见</w:t>
      </w:r>
    </w:p>
    <w:p>
      <w:pPr>
        <w:pStyle w:val="2"/>
        <w:keepNext w:val="0"/>
        <w:keepLines w:val="0"/>
        <w:pageBreakBefore w:val="0"/>
        <w:widowControl w:val="0"/>
        <w:kinsoku/>
        <w:wordWrap/>
        <w:overflowPunct/>
        <w:topLinePunct/>
        <w:autoSpaceDE/>
        <w:autoSpaceDN/>
        <w:bidi w:val="0"/>
        <w:adjustRightInd/>
        <w:snapToGrid/>
        <w:spacing w:after="0" w:line="53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（暂行）</w:t>
      </w:r>
      <w:r>
        <w:rPr>
          <w:rFonts w:hint="eastAsia" w:ascii="方正小标宋_GBK" w:hAnsi="方正小标宋_GBK" w:eastAsia="方正小标宋_GBK" w:cs="方正小标宋_GBK"/>
          <w:b w:val="0"/>
          <w:bCs w:val="0"/>
          <w:sz w:val="44"/>
          <w:szCs w:val="44"/>
          <w:lang w:val="en-US" w:eastAsia="zh-CN"/>
        </w:rPr>
        <w:t>》的通知</w:t>
      </w:r>
    </w:p>
    <w:p>
      <w:pPr>
        <w:pStyle w:val="2"/>
        <w:keepNext w:val="0"/>
        <w:keepLines w:val="0"/>
        <w:pageBreakBefore w:val="0"/>
        <w:widowControl w:val="0"/>
        <w:kinsoku/>
        <w:wordWrap/>
        <w:overflowPunct/>
        <w:topLinePunct/>
        <w:autoSpaceDE/>
        <w:autoSpaceDN/>
        <w:bidi w:val="0"/>
        <w:adjustRightInd/>
        <w:snapToGrid/>
        <w:spacing w:line="536" w:lineRule="exact"/>
        <w:jc w:val="center"/>
        <w:textAlignment w:val="auto"/>
        <w:rPr>
          <w:rFonts w:hint="eastAsia" w:ascii="仿宋_GB2312" w:hAnsi="仿宋_GB2312" w:eastAsia="仿宋_GB2312" w:cs="仿宋_GB2312"/>
          <w:b w:val="0"/>
          <w:bCs w:val="0"/>
          <w:sz w:val="32"/>
          <w:szCs w:val="32"/>
        </w:rPr>
      </w:pPr>
    </w:p>
    <w:p>
      <w:pPr>
        <w:pStyle w:val="2"/>
        <w:keepNext w:val="0"/>
        <w:keepLines w:val="0"/>
        <w:pageBreakBefore w:val="0"/>
        <w:widowControl w:val="0"/>
        <w:kinsoku/>
        <w:wordWrap/>
        <w:overflowPunct/>
        <w:topLinePunct/>
        <w:autoSpaceDE/>
        <w:autoSpaceDN/>
        <w:bidi w:val="0"/>
        <w:adjustRightInd/>
        <w:snapToGrid/>
        <w:spacing w:line="536"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各街道办事处，区政府各部门：</w:t>
      </w:r>
    </w:p>
    <w:p>
      <w:pPr>
        <w:pStyle w:val="2"/>
        <w:keepNext w:val="0"/>
        <w:keepLines w:val="0"/>
        <w:pageBreakBefore w:val="0"/>
        <w:widowControl w:val="0"/>
        <w:kinsoku/>
        <w:wordWrap/>
        <w:overflowPunct/>
        <w:topLinePunct/>
        <w:autoSpaceDE/>
        <w:autoSpaceDN/>
        <w:bidi w:val="0"/>
        <w:adjustRightInd/>
        <w:snapToGrid/>
        <w:spacing w:line="536" w:lineRule="exact"/>
        <w:ind w:firstLine="616"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6"/>
          <w:sz w:val="32"/>
          <w:szCs w:val="32"/>
          <w:lang w:eastAsia="zh-CN"/>
        </w:rPr>
        <w:t>《浔阳区关于规范政府投资限额以下非必须招标工程项目发包方式的实施意见（暂行）》已通过</w:t>
      </w:r>
      <w:r>
        <w:rPr>
          <w:rFonts w:hint="eastAsia" w:ascii="仿宋_GB2312" w:hAnsi="仿宋_GB2312" w:eastAsia="仿宋_GB2312" w:cs="仿宋_GB2312"/>
          <w:b w:val="0"/>
          <w:bCs w:val="0"/>
          <w:spacing w:val="-6"/>
          <w:sz w:val="32"/>
          <w:szCs w:val="32"/>
          <w:lang w:val="en-US" w:eastAsia="zh-CN"/>
        </w:rPr>
        <w:t>2020年第64次区政府常务会议审议，现印发给你们，请按照要求，认真贯彻执行。</w:t>
      </w:r>
    </w:p>
    <w:p>
      <w:pPr>
        <w:pStyle w:val="2"/>
        <w:keepNext w:val="0"/>
        <w:keepLines w:val="0"/>
        <w:pageBreakBefore w:val="0"/>
        <w:widowControl w:val="0"/>
        <w:kinsoku/>
        <w:wordWrap/>
        <w:overflowPunct/>
        <w:topLinePunct/>
        <w:autoSpaceDE/>
        <w:autoSpaceDN/>
        <w:bidi w:val="0"/>
        <w:adjustRightInd/>
        <w:snapToGrid/>
        <w:spacing w:after="0" w:line="480" w:lineRule="auto"/>
        <w:ind w:firstLine="640" w:firstLineChars="200"/>
        <w:textAlignment w:val="auto"/>
        <w:rPr>
          <w:rFonts w:hint="default"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3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2021年1月12日</w:t>
      </w:r>
    </w:p>
    <w:bookmarkEnd w:id="0"/>
    <w:p>
      <w:pPr>
        <w:keepNext w:val="0"/>
        <w:keepLines w:val="0"/>
        <w:pageBreakBefore w:val="0"/>
        <w:widowControl w:val="0"/>
        <w:kinsoku/>
        <w:wordWrap/>
        <w:overflowPunct/>
        <w:topLinePunct/>
        <w:autoSpaceDE/>
        <w:autoSpaceDN/>
        <w:bidi w:val="0"/>
        <w:adjustRightInd/>
        <w:snapToGrid/>
        <w:spacing w:after="0" w:line="240" w:lineRule="auto"/>
        <w:jc w:val="center"/>
        <w:textAlignment w:val="auto"/>
        <w:rPr>
          <w:rFonts w:ascii="宋体" w:hAnsi="宋体" w:eastAsia="宋体" w:cs="宋体"/>
          <w:b/>
          <w:bCs/>
          <w:sz w:val="44"/>
          <w:szCs w:val="44"/>
        </w:rPr>
      </w:pPr>
      <w:r>
        <w:rPr>
          <w:rFonts w:hint="eastAsia" w:ascii="宋体" w:hAnsi="宋体" w:eastAsia="宋体" w:cs="宋体"/>
          <w:b/>
          <w:bCs/>
          <w:sz w:val="44"/>
          <w:szCs w:val="44"/>
        </w:rPr>
        <w:t>浔阳区关于规范政府投资限额以下非必须招标工程项目发包方式的实施意见（暂行）</w:t>
      </w:r>
    </w:p>
    <w:p>
      <w:pPr>
        <w:keepNext w:val="0"/>
        <w:keepLines w:val="0"/>
        <w:pageBreakBefore w:val="0"/>
        <w:widowControl w:val="0"/>
        <w:kinsoku/>
        <w:wordWrap/>
        <w:overflowPunct/>
        <w:topLinePunct/>
        <w:autoSpaceDE/>
        <w:autoSpaceDN/>
        <w:bidi w:val="0"/>
        <w:adjustRightInd/>
        <w:snapToGrid/>
        <w:spacing w:after="0" w:line="240" w:lineRule="auto"/>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强工程项目建设管理，规范政府投资限额以下非必须招标工程项目发包行为，健全权力运行制约机制，提高政府投资效益，预防工程领域腐败，根据《中华人民共和国招标投标法》《中华人民共和国招标投标法实施条例》《政府投资条例》（国务院令第712号）《必须招标的工程项目规定》（国家发改委令2018第16号）及有关法律、法规规定，现就全区限额以下非必须招标工程项目的发包方式提出如下实施意见。</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放管服”改革举措，坚持依法依规、坚持公平公正、坚持效率优先的原则，充分发挥市场在资源配置中的决定性作用，不断激发市场活力，释放内需潜力，采取更加便捷、高效、廉洁的服务措施，降低制度性交易成本，推动营商环境进一步改善，助推我区经济高质量跨越式发展。</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val="0"/>
        <w:kinsoku/>
        <w:wordWrap/>
        <w:overflowPunct/>
        <w:topLinePunct/>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（一）项目类型</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限额以下非必须招标工程项目，指《必须招标的工程项目规定》和《必须招标的基础设施和公用事业项目范围规定》以外的建设工程及与工程建设有关的货物、服务。上述所称工程，是指建设工程，包括建筑物和构筑物的新建、改建、扩建及其相关的装修、拆除等；所称与工程建设有关的货物，是指构成工程不可分割的组成部分，且为实现工程基本功能所必需的设备、材料等；所称与工程建设有关的服务，是指为完成工程所需的勘察、设计、监理等服务。</w:t>
      </w:r>
    </w:p>
    <w:p>
      <w:pPr>
        <w:keepNext w:val="0"/>
        <w:keepLines w:val="0"/>
        <w:pageBreakBefore w:val="0"/>
        <w:widowControl w:val="0"/>
        <w:kinsoku/>
        <w:wordWrap/>
        <w:overflowPunct/>
        <w:topLinePunct/>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（二）限额标准</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1.建设工程。施工单项合同估算价在400万元人民币（不含400万元）以下。</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2.设备材料采购。重要设备、材料等货物的采购，单项合同估算价在200万元人民币（不含200万元）以下。</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3.咨询服务采购。勘察、设计、监理等服务的采购，单项合同估算价在100万元人民币（不含100万元）以下。</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同一项目中可以合并进行的勘察、设计、施工、监理以及与工程建设有关的重要设备、材料等的采购，合同估算价合计超过上述规定标准的，必须招标。</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三、工作程序</w:t>
      </w:r>
    </w:p>
    <w:p>
      <w:pPr>
        <w:keepNext w:val="0"/>
        <w:keepLines w:val="0"/>
        <w:pageBreakBefore w:val="0"/>
        <w:widowControl w:val="0"/>
        <w:kinsoku/>
        <w:wordWrap/>
        <w:overflowPunct/>
        <w:topLinePunct/>
        <w:autoSpaceDE/>
        <w:autoSpaceDN/>
        <w:bidi w:val="0"/>
        <w:adjustRightInd/>
        <w:snapToGrid/>
        <w:spacing w:after="0" w:line="240" w:lineRule="auto"/>
        <w:ind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楷体" w:hAnsi="楷体" w:eastAsia="楷体" w:cs="楷体"/>
          <w:b/>
          <w:bCs/>
          <w:sz w:val="32"/>
          <w:szCs w:val="32"/>
        </w:rPr>
        <w:t>（一）前期工作。</w:t>
      </w:r>
      <w:r>
        <w:rPr>
          <w:rFonts w:hint="eastAsia" w:ascii="仿宋_GB2312" w:hAnsi="仿宋_GB2312" w:eastAsia="仿宋_GB2312" w:cs="仿宋_GB2312"/>
          <w:sz w:val="32"/>
          <w:szCs w:val="32"/>
        </w:rPr>
        <w:t>按照政府投资项目审批程序，建设单位履行项目审批手续，</w:t>
      </w:r>
      <w:r>
        <w:rPr>
          <w:rFonts w:hint="eastAsia" w:ascii="仿宋_GB2312" w:eastAsia="仿宋_GB2312"/>
          <w:color w:val="000000" w:themeColor="text1"/>
          <w:sz w:val="32"/>
          <w:szCs w:val="32"/>
          <w14:textFill>
            <w14:solidFill>
              <w14:schemeClr w14:val="tx1"/>
            </w14:solidFill>
          </w14:textFill>
        </w:rPr>
        <w:t>依规委托有资质的造价咨询单位编</w:t>
      </w:r>
      <w:r>
        <w:rPr>
          <w:rFonts w:hint="eastAsia" w:ascii="仿宋_GB2312" w:hAnsi="仿宋_GB2312" w:eastAsia="仿宋_GB2312" w:cs="仿宋_GB2312"/>
          <w:color w:val="000000" w:themeColor="text1"/>
          <w:sz w:val="32"/>
          <w:szCs w:val="32"/>
          <w14:textFill>
            <w14:solidFill>
              <w14:schemeClr w14:val="tx1"/>
            </w14:solidFill>
          </w14:textFill>
        </w:rPr>
        <w:t>制</w:t>
      </w:r>
      <w:r>
        <w:rPr>
          <w:rFonts w:hint="eastAsia" w:ascii="仿宋_GB2312" w:eastAsia="仿宋_GB2312"/>
          <w:color w:val="000000" w:themeColor="text1"/>
          <w:sz w:val="32"/>
          <w:szCs w:val="32"/>
          <w14:textFill>
            <w14:solidFill>
              <w14:schemeClr w14:val="tx1"/>
            </w14:solidFill>
          </w14:textFill>
        </w:rPr>
        <w:t>工程预算。并按照《浔阳区财政投资评审管理暂行办法》的规定送区财政评审中心进行评审，并出具评审批复。</w:t>
      </w:r>
    </w:p>
    <w:p>
      <w:pPr>
        <w:keepNext w:val="0"/>
        <w:keepLines w:val="0"/>
        <w:pageBreakBefore w:val="0"/>
        <w:widowControl w:val="0"/>
        <w:kinsoku/>
        <w:wordWrap/>
        <w:overflowPunct/>
        <w:topLinePunct/>
        <w:autoSpaceDE/>
        <w:autoSpaceDN/>
        <w:bidi w:val="0"/>
        <w:adjustRightInd/>
        <w:snapToGrid/>
        <w:spacing w:after="0" w:line="240" w:lineRule="auto"/>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（二）发包方式。</w:t>
      </w:r>
      <w:r>
        <w:rPr>
          <w:rFonts w:hint="eastAsia" w:ascii="仿宋_GB2312" w:hAnsi="仿宋_GB2312" w:eastAsia="仿宋_GB2312" w:cs="仿宋_GB2312"/>
          <w:sz w:val="32"/>
          <w:szCs w:val="32"/>
        </w:rPr>
        <w:t>限额以下非必须招标工程项目，可选择招标发包或直接发包。</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1.招标发包。采用招标方式发包的，应遵守《中华人民共和国招标投标法》、《江西省实施&lt;中华人民共和国招标投标法&gt;办法》等法律法规的规定，由区发改委核准公开招标或邀请招标。</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2.直接发包。采取直接发包的，按照“三重一大”原则，建设单位集体研究决定，直接发包给具有相应资质且无失信记录的企业。</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区发改委负责限额以下非必须招标工程项目的立项审批。由项目建设单位向区发改委提出立项申请，提供项目建设书以及法律、法规、规章规定的其他材料；可不编制项目可行性研究报告、初步设计和概算报区发改委审批。</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2.区财政局负责对限额以下非必须招标工程项目进行预算评审，批复招标控制建议价和财政审定价，项目政府采购管理、资金筹集和拨付、财务活动监督等工作</w:t>
      </w:r>
    </w:p>
    <w:p>
      <w:pPr>
        <w:keepNext w:val="0"/>
        <w:keepLines w:val="0"/>
        <w:pageBreakBefore w:val="0"/>
        <w:widowControl w:val="0"/>
        <w:kinsoku/>
        <w:wordWrap/>
        <w:overflowPunct/>
        <w:topLinePunct/>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3.区审计局依法依规负责对限额以下非必须招标工程项目进行审计监督。</w:t>
      </w:r>
    </w:p>
    <w:p>
      <w:pPr>
        <w:keepNext w:val="0"/>
        <w:keepLines w:val="0"/>
        <w:pageBreakBefore w:val="0"/>
        <w:widowControl w:val="0"/>
        <w:kinsoku/>
        <w:wordWrap/>
        <w:overflowPunct/>
        <w:topLinePunct/>
        <w:autoSpaceDE/>
        <w:autoSpaceDN/>
        <w:bidi w:val="0"/>
        <w:adjustRightInd/>
        <w:snapToGrid/>
        <w:spacing w:after="0" w:line="240" w:lineRule="auto"/>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autoSpaceDE/>
        <w:autoSpaceDN/>
        <w:bidi w:val="0"/>
        <w:adjustRightInd/>
        <w:snapToGrid/>
        <w:spacing w:after="0" w:afterLines="0" w:line="240" w:lineRule="auto"/>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autoSpaceDE/>
        <w:autoSpaceDN/>
        <w:bidi w:val="0"/>
        <w:adjustRightInd/>
        <w:snapToGrid/>
        <w:spacing w:after="0" w:afterLines="0" w:line="240" w:lineRule="auto"/>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autoSpaceDE/>
        <w:autoSpaceDN/>
        <w:bidi w:val="0"/>
        <w:adjustRightInd/>
        <w:snapToGrid/>
        <w:spacing w:after="0" w:afterLines="0" w:line="240" w:lineRule="auto"/>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autoSpaceDE/>
        <w:autoSpaceDN/>
        <w:bidi w:val="0"/>
        <w:adjustRightInd/>
        <w:snapToGrid/>
        <w:spacing w:after="0" w:afterLines="0" w:line="240" w:lineRule="auto"/>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autoSpaceDE/>
        <w:autoSpaceDN/>
        <w:bidi w:val="0"/>
        <w:adjustRightInd/>
        <w:snapToGrid/>
        <w:spacing w:after="0" w:afterLines="0" w:line="240" w:lineRule="auto"/>
        <w:textAlignment w:val="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334645</wp:posOffset>
                </wp:positionV>
                <wp:extent cx="5638800" cy="9525"/>
                <wp:effectExtent l="0" t="0" r="0" b="0"/>
                <wp:wrapNone/>
                <wp:docPr id="2" name="直线 7"/>
                <wp:cNvGraphicFramePr/>
                <a:graphic xmlns:a="http://schemas.openxmlformats.org/drawingml/2006/main">
                  <a:graphicData uri="http://schemas.microsoft.com/office/word/2010/wordprocessingShape">
                    <wps:wsp>
                      <wps:cNvCnPr/>
                      <wps:spPr>
                        <a:xfrm flipV="1">
                          <a:off x="0" y="0"/>
                          <a:ext cx="56388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0.65pt;margin-top:26.35pt;height:0.75pt;width:444pt;z-index:251662336;mso-width-relative:page;mso-height-relative:page;" filled="f" stroked="t" coordsize="21600,21600" o:gfxdata="UEsDBAoAAAAAAIdO4kAAAAAAAAAAAAAAAAAEAAAAZHJzL1BLAwQUAAAACACHTuJATuc+39QAAAAH&#10;AQAADwAAAGRycy9kb3ducmV2LnhtbE2Oy07DMBBF90j8gzVI7KjdlEeaxqkQAjZISJTQtRMPSYQ9&#10;jmI3LX/PsILlfejeU25P3okZpzgE0rBcKBBIbbADdRrq96erHERMhqxxgVDDN0bYVudnpSlsONIb&#10;zrvUCR6hWBgNfUpjIWVse/QmLsKIxNlnmLxJLKdO2skcedw7mSl1K70ZiB96M+JDj+3X7uA13O9f&#10;Hlevc+ODs+uu/rC+Vs+Z1pcXS7UBkfCU/srwi8/oUDFTEw5ko3CsV1zUcJPdgeA4z9dsNGxcZyCr&#10;Uv7nr34AUEsDBBQAAAAIAIdO4kAJEF6R7gEAAOgDAAAOAAAAZHJzL2Uyb0RvYy54bWytU0uOEzEQ&#10;3SNxB8t70klQhqGVziwmDBsEkfjsK7a725J/cjnp5CxcgxUbjjPXoOxuAgybLPDCKruen+s9l9d3&#10;J2vYUUXU3jV8MZtzppzwUruu4Z8/Pby45QwTOAnGO9Xws0J+t3n+bD2EWi19741UkRGJw3oIDe9T&#10;CnVVoeiVBZz5oBwlWx8tJFrGrpIRBmK3plrO5zfV4KMM0QuFSLvbMcknxngNoW9bLdTWi4NVLo2s&#10;URlIJAl7HZBvSrVtq0T60LaoEjMNJ6WpzHQJxfs8V5s11F2E0GsxlQDXlPBEkwXt6NIL1RYSsEPU&#10;/1BZLaJH36aZ8LYahRRHSMVi/sSbjz0EVbSQ1RgupuP/oxXvj7vItGz4kjMHlh788eu3x+8/2Kvs&#10;zRCwJsi928VphWEXs9BTGy1rjQ5fqImKdBLDTsXZ88VZdUpM0Obq5uXt7ZxMF5R7vVquMnk1smS2&#10;EDG9Vd6yHDTcaJd1Qw3Hd5hG6C9I3jaODRMPE0BN2NLjE7kNJARdV86iN1o+aGPyCYzd/t5EdoTc&#10;CGVMJfwFy5dsAfsRV1IZBnWvQL5xkqVzIIsc/QyeS7BKcmYUfaQcFWQCba5BknrjyIRs8WhqjvZe&#10;nulBDiHqricnFqXKnKEGKJZNzZo77M91Yfr9QT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7n&#10;Pt/UAAAABwEAAA8AAAAAAAAAAQAgAAAAIgAAAGRycy9kb3ducmV2LnhtbFBLAQIUABQAAAAIAIdO&#10;4kAJEF6R7gEAAOgDAAAOAAAAAAAAAAEAIAAAACMBAABkcnMvZTJvRG9jLnhtbFBLBQYAAAAABgAG&#10;AFkBAACDBQ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autoSpaceDE/>
        <w:autoSpaceDN/>
        <w:bidi w:val="0"/>
        <w:adjustRightInd/>
        <w:snapToGrid/>
        <w:spacing w:after="0" w:afterLines="0" w:line="240" w:lineRule="auto"/>
        <w:ind w:firstLine="280" w:firstLineChars="100"/>
        <w:textAlignment w:val="auto"/>
        <w:rPr>
          <w:rFonts w:hint="default"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372745</wp:posOffset>
                </wp:positionV>
                <wp:extent cx="5638800" cy="9525"/>
                <wp:effectExtent l="0" t="0" r="0" b="0"/>
                <wp:wrapNone/>
                <wp:docPr id="1" name="直线 6"/>
                <wp:cNvGraphicFramePr/>
                <a:graphic xmlns:a="http://schemas.openxmlformats.org/drawingml/2006/main">
                  <a:graphicData uri="http://schemas.microsoft.com/office/word/2010/wordprocessingShape">
                    <wps:wsp>
                      <wps:cNvCnPr/>
                      <wps:spPr>
                        <a:xfrm flipV="1">
                          <a:off x="961390" y="9433560"/>
                          <a:ext cx="56388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85pt;margin-top:29.35pt;height:0.75pt;width:444pt;z-index:251661312;mso-width-relative:page;mso-height-relative:page;" filled="f" stroked="t" coordsize="21600,21600" o:gfxdata="UEsDBAoAAAAAAIdO4kAAAAAAAAAAAAAAAAAEAAAAZHJzL1BLAwQUAAAACACHTuJAh8PFX9cAAAAI&#10;AQAADwAAAGRycy9kb3ducmV2LnhtbE2PwU7DMBBE70j8g7VI3Fo7qQhpyKZCCLggIVFCz068JBHx&#10;OordtPw95gSn0WpGM2/L3dmOYqHZD44RkrUCQdw6M3CHUL8/rXIQPmg2enRMCN/kYVddXpS6MO7E&#10;b7TsQydiCftCI/QhTIWUvu3Jar92E3H0Pt1sdYjn3Ekz61Mst6NMlcqk1QPHhV5P9NBT+7U/WoT7&#10;w8vj5nVprBvNtqs/jK3Vc4p4fZWoOxCBzuEvDL/4ER2qyNS4IxsvRoRVchuTCDd51OjnebYB0SBk&#10;KgVZlfL/A9UPUEsDBBQAAAAIAIdO4kCFOLxE+AEAAPMDAAAOAAAAZHJzL2Uyb0RvYy54bWytUzuO&#10;2zAQ7QPkDgT7WP7EhlewvMU6myZIDOTT0/xIBPgDh7bss+QaqdLkOHuNDClld7NpXEQFMeQ8vpn3&#10;NNzcnq0hJxlBe9fQ2WRKiXTcC+3ahn79cv9mTQkk5gQz3smGXiTQ2+3rV5s+1HLuO2+EjARJHNR9&#10;aGiXUqirCngnLYOJD9JhUvloWcJtbCsRWY/s1lTz6XRV9T6KED2XAHi6G5J0ZIzXEHqlNJc7z49W&#10;ujSwRmlYQknQ6QB0W7pVSvL0SSmQiZiGotJUViyC8SGv1XbD6jay0Gk+tsCuaeGFJsu0w6KPVDuW&#10;GDlG/Q+V1Tx68CpNuLfVIKQ4gipm0xfefO5YkEULWg3h0XT4f7T842kfiRY4CZQ4ZvGHP3z/8fDz&#10;F1llb/oANULu3D6OOwj7mIWeVbREGR2+5av5BMWQc0NvVrPFDdp7wfDtYrFcjSbLcyIc88vVYr2e&#10;IoBnxHK+zHWqgTDThAjpvfSW5KChRrtsAavZ6QOkAfoHko+NI/3IQzjDeVQ4B0huA2oC15a74I0W&#10;99qYfANie7gzkZxYnonyjS38BctFdgy6AVdSGcbqTjLxzgmSLgHdcvhIaG7BSkGJkfimclSQiWlz&#10;DRLVG4cmZLcHf3N08OKC/+YYom47dGJWuswZnIVi2Ti3edie7wvT01v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w8Vf1wAAAAgBAAAPAAAAAAAAAAEAIAAAACIAAABkcnMvZG93bnJldi54bWxQ&#10;SwECFAAUAAAACACHTuJAhTi8RPgBAADzAwAADgAAAAAAAAABACAAAAAm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eastAsia="zh-CN"/>
        </w:rPr>
        <w:t>浔阳区人民政府办公室</w:t>
      </w:r>
      <w:r>
        <w:rPr>
          <w:rFonts w:hint="eastAsia" w:ascii="仿宋_GB2312" w:hAnsi="仿宋_GB2312" w:eastAsia="仿宋_GB2312" w:cs="仿宋_GB2312"/>
          <w:sz w:val="28"/>
          <w:szCs w:val="28"/>
          <w:lang w:val="en-US" w:eastAsia="zh-CN"/>
        </w:rPr>
        <w:t xml:space="preserve">                     2021年1月12日印发  </w:t>
      </w:r>
    </w:p>
    <w:sectPr>
      <w:footerReference r:id="rId4" w:type="default"/>
      <w:pgSz w:w="11906" w:h="16838"/>
      <w:pgMar w:top="1984" w:right="1531" w:bottom="1984" w:left="1531" w:header="850"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aE2OcBAADHAwAADgAAAGRycy9lMm9Eb2MueG1srVNLbtswEN0XyB2I&#10;2ceSjaZwBdNBCiNBgKItkPYANEVZBPgDSVtyD9DeoKtuuu+5fI4MKckp0k0W2UgznJk38x6Hq+te&#10;K3IQPkhrKMxnJRBhuK2l2VH49vX2cgkkRGZqpqwRFI4iwPX64s2qc5VY2NaqWniCICZUnaPQxuiq&#10;ogi8FZqFmXXCYLCxXrOIrt8VtWcdomtVLMryXdFZXztvuQgBTzdDEEZE/xJA2zSSi43ley1MHFC9&#10;UCwipdBKF2Cdp20awePnpgkiEkUBmcb8xSZob9O3WK9YtfPMtZKPI7CXjPCMk2bSYNMz1IZFRvZe&#10;/gelJfc22CbOuNXFQCQrgizm5TNtHlrmROaCUgd3Fj28Hiz/dPjiiawpvAVimMYLP/36efr99/Tn&#10;B5kneToXKsx6cJgX+w+2x6WZzgMeJtZ943X6Ix+CcRT3eBZX9JHwVLRcLJclhjjGJgfxi6dy50O8&#10;E1aTZFDweHtZVHb4GOKQOqWkbsbeSqXyDSpDOgrvrxZXueAcQXBlUq7IuzDCJErD6MmK/bYfeW5t&#10;fUSa+DqwfWv9dyAd7gYFg08BiLo3KH1ao8nwk7GdDGY4FlKIQPbOy12bVy6NENzNPuLImUlqPHRD&#10;BZKD95u1GHcxLdC/fs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uxoTY5wEAAMcD&#10;AAAOAAAAAAAAAAEAIAAAAB4BAABkcnMvZTJvRG9jLnhtbFBLBQYAAAAABgAGAFkBAAB3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bordersDoNotSurroundHeader w:val="1"/>
  <w:bordersDoNotSurroundFooter w:val="1"/>
  <w:documentProtection w:enforcement="0"/>
  <w:defaultTabStop w:val="420"/>
  <w:drawingGridHorizontalSpacing w:val="220"/>
  <w:drawingGridVerticalSpacing w:val="293"/>
  <w:displayHorizontalDrawingGridEvery w:val="1"/>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48"/>
    <w:rsid w:val="00274CEF"/>
    <w:rsid w:val="00580352"/>
    <w:rsid w:val="009B16E7"/>
    <w:rsid w:val="00AA64C2"/>
    <w:rsid w:val="00AB1E49"/>
    <w:rsid w:val="00AB2C52"/>
    <w:rsid w:val="00B43582"/>
    <w:rsid w:val="00DA797C"/>
    <w:rsid w:val="00DC41A6"/>
    <w:rsid w:val="00E120FA"/>
    <w:rsid w:val="00ED0548"/>
    <w:rsid w:val="00EE747E"/>
    <w:rsid w:val="00F17BF0"/>
    <w:rsid w:val="00FA7C49"/>
    <w:rsid w:val="018E5135"/>
    <w:rsid w:val="03C7787C"/>
    <w:rsid w:val="19D24008"/>
    <w:rsid w:val="1DB66CD9"/>
    <w:rsid w:val="20504158"/>
    <w:rsid w:val="22B82FFE"/>
    <w:rsid w:val="23F9643B"/>
    <w:rsid w:val="308722D5"/>
    <w:rsid w:val="3F0D652B"/>
    <w:rsid w:val="422E566E"/>
    <w:rsid w:val="46160731"/>
    <w:rsid w:val="4EF81349"/>
    <w:rsid w:val="57FF6120"/>
    <w:rsid w:val="6052261F"/>
    <w:rsid w:val="65E03AFB"/>
    <w:rsid w:val="670C4C9F"/>
    <w:rsid w:val="6B192D00"/>
    <w:rsid w:val="6C4E17C8"/>
    <w:rsid w:val="77BA3708"/>
    <w:rsid w:val="7C7A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style>
  <w:style w:type="paragraph" w:styleId="3">
    <w:name w:val="footer"/>
    <w:basedOn w:val="1"/>
    <w:link w:val="7"/>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脚 Char"/>
    <w:basedOn w:val="6"/>
    <w:link w:val="3"/>
    <w:qFormat/>
    <w:uiPriority w:val="99"/>
    <w:rPr>
      <w:rFonts w:ascii="Tahoma" w:hAnsi="Tahoma" w:eastAsia="微软雅黑"/>
      <w:kern w:val="0"/>
      <w:sz w:val="18"/>
      <w:szCs w:val="18"/>
    </w:rPr>
  </w:style>
  <w:style w:type="character" w:customStyle="1" w:styleId="8">
    <w:name w:val="页眉 Char"/>
    <w:basedOn w:val="6"/>
    <w:link w:val="4"/>
    <w:semiHidden/>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198</Words>
  <Characters>1134</Characters>
  <Lines>9</Lines>
  <Paragraphs>2</Paragraphs>
  <TotalTime>23</TotalTime>
  <ScaleCrop>false</ScaleCrop>
  <LinksUpToDate>false</LinksUpToDate>
  <CharactersWithSpaces>1330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2020-10-24T07:57:00Z</dcterms:created>
  <dc:creator>JJZJV</dc:creator>
  <cp:lastModifiedBy>Administrator</cp:lastModifiedBy>
  <cp:lastPrinted>2021-10-12T08:28:24Z</cp:lastPrinted>
  <dcterms:modified xsi:type="dcterms:W3CDTF">2021-10-12T08:28:30Z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0691C65676424B89B5F96712E69002A6</vt:lpwstr>
  </property>
</Properties>
</file>