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sz w:val="28"/>
          <w:szCs w:val="22"/>
          <w:lang w:eastAsia="zh-CN"/>
        </w:rPr>
      </w:pPr>
      <w:r>
        <w:rPr>
          <w:rFonts w:hint="eastAsia"/>
          <w:sz w:val="28"/>
          <w:szCs w:val="22"/>
          <w:lang w:eastAsia="zh-CN"/>
        </w:rPr>
        <w:t>附件</w:t>
      </w:r>
    </w:p>
    <w:p>
      <w:pPr>
        <w:pStyle w:val="2"/>
        <w:bidi w:val="0"/>
        <w:ind w:left="-199" w:leftChars="-95" w:firstLine="199" w:firstLineChars="55"/>
        <w:jc w:val="left"/>
        <w:rPr>
          <w:rFonts w:hint="eastAsia"/>
          <w:sz w:val="32"/>
          <w:szCs w:val="24"/>
          <w:lang w:val="en-US" w:eastAsia="zh-CN"/>
        </w:rPr>
      </w:pPr>
      <w:r>
        <w:rPr>
          <w:rFonts w:hint="eastAsia"/>
          <w:sz w:val="36"/>
          <w:szCs w:val="28"/>
          <w:lang w:eastAsia="zh-CN"/>
        </w:rPr>
        <w:t>九江市浔阳区</w:t>
      </w:r>
      <w:r>
        <w:rPr>
          <w:rFonts w:hint="eastAsia"/>
          <w:sz w:val="36"/>
          <w:szCs w:val="28"/>
          <w:lang w:val="en-US" w:eastAsia="zh-CN"/>
        </w:rPr>
        <w:t>2021年区直有关单位随机抽查事项清</w:t>
      </w:r>
      <w:bookmarkStart w:id="0" w:name="_GoBack"/>
      <w:bookmarkEnd w:id="0"/>
      <w:r>
        <w:rPr>
          <w:rFonts w:hint="eastAsia"/>
          <w:sz w:val="36"/>
          <w:szCs w:val="28"/>
          <w:lang w:val="en-US" w:eastAsia="zh-CN"/>
        </w:rPr>
        <w:t>单</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912"/>
        <w:gridCol w:w="2205"/>
        <w:gridCol w:w="1484"/>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55" w:type="pct"/>
            <w:vAlign w:val="top"/>
          </w:tcPr>
          <w:p>
            <w:pPr>
              <w:spacing w:line="64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1648" w:type="pct"/>
            <w:vAlign w:val="top"/>
          </w:tcPr>
          <w:p>
            <w:pPr>
              <w:spacing w:line="640" w:lineRule="exact"/>
              <w:jc w:val="center"/>
              <w:rPr>
                <w:rFonts w:hint="eastAsia" w:ascii="黑体" w:hAnsi="黑体" w:eastAsia="黑体" w:cs="黑体"/>
                <w:sz w:val="28"/>
                <w:szCs w:val="28"/>
              </w:rPr>
            </w:pPr>
            <w:r>
              <w:rPr>
                <w:rFonts w:hint="eastAsia" w:ascii="黑体" w:hAnsi="黑体" w:eastAsia="黑体" w:cs="黑体"/>
                <w:sz w:val="28"/>
                <w:szCs w:val="28"/>
              </w:rPr>
              <w:t>抽查事项</w:t>
            </w:r>
          </w:p>
        </w:tc>
        <w:tc>
          <w:tcPr>
            <w:tcW w:w="1248" w:type="pct"/>
            <w:vAlign w:val="top"/>
          </w:tcPr>
          <w:p>
            <w:pPr>
              <w:spacing w:line="640" w:lineRule="exact"/>
              <w:jc w:val="center"/>
              <w:rPr>
                <w:rFonts w:hint="eastAsia" w:ascii="黑体" w:hAnsi="黑体" w:eastAsia="黑体" w:cs="黑体"/>
                <w:sz w:val="28"/>
                <w:szCs w:val="28"/>
              </w:rPr>
            </w:pPr>
            <w:r>
              <w:rPr>
                <w:rFonts w:hint="eastAsia" w:ascii="黑体" w:hAnsi="黑体" w:eastAsia="黑体" w:cs="黑体"/>
                <w:sz w:val="28"/>
                <w:szCs w:val="28"/>
              </w:rPr>
              <w:t>检查主体</w:t>
            </w:r>
          </w:p>
        </w:tc>
        <w:tc>
          <w:tcPr>
            <w:tcW w:w="840" w:type="pct"/>
            <w:vAlign w:val="top"/>
          </w:tcPr>
          <w:p>
            <w:pPr>
              <w:spacing w:line="640" w:lineRule="exact"/>
              <w:jc w:val="center"/>
              <w:rPr>
                <w:rFonts w:hint="eastAsia" w:ascii="黑体" w:hAnsi="黑体" w:eastAsia="黑体" w:cs="黑体"/>
                <w:sz w:val="28"/>
                <w:szCs w:val="28"/>
              </w:rPr>
            </w:pPr>
            <w:r>
              <w:rPr>
                <w:rFonts w:hint="eastAsia" w:ascii="黑体" w:hAnsi="黑体" w:eastAsia="黑体" w:cs="黑体"/>
                <w:sz w:val="28"/>
                <w:szCs w:val="28"/>
              </w:rPr>
              <w:t>抽查比例</w:t>
            </w:r>
          </w:p>
        </w:tc>
        <w:tc>
          <w:tcPr>
            <w:tcW w:w="807" w:type="pct"/>
            <w:vAlign w:val="top"/>
          </w:tcPr>
          <w:p>
            <w:pPr>
              <w:spacing w:line="640" w:lineRule="exact"/>
              <w:jc w:val="center"/>
              <w:rPr>
                <w:rFonts w:hint="eastAsia" w:ascii="黑体" w:hAnsi="黑体" w:eastAsia="黑体" w:cs="黑体"/>
                <w:sz w:val="28"/>
                <w:szCs w:val="28"/>
              </w:rPr>
            </w:pPr>
            <w:r>
              <w:rPr>
                <w:rFonts w:hint="eastAsia" w:ascii="黑体" w:hAnsi="黑体" w:eastAsia="黑体" w:cs="黑体"/>
                <w:sz w:val="28"/>
                <w:szCs w:val="28"/>
              </w:rPr>
              <w:t>抽查频率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648"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对占用、挖掘城市道路审批及事中事后情况进行行政检查</w:t>
            </w:r>
          </w:p>
        </w:tc>
        <w:tc>
          <w:tcPr>
            <w:tcW w:w="1248"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浔阳区城市管理局</w:t>
            </w:r>
          </w:p>
        </w:tc>
        <w:tc>
          <w:tcPr>
            <w:tcW w:w="840"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807" w:type="pct"/>
            <w:vAlign w:val="center"/>
          </w:tcPr>
          <w:p>
            <w:pPr>
              <w:spacing w:line="64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55"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648" w:type="pct"/>
            <w:vAlign w:val="center"/>
          </w:tcPr>
          <w:p>
            <w:pPr>
              <w:spacing w:line="640" w:lineRule="exact"/>
              <w:jc w:val="center"/>
              <w:rPr>
                <w:rFonts w:hint="eastAsia" w:ascii="仿宋" w:hAnsi="仿宋" w:eastAsia="仿宋" w:cs="仿宋"/>
                <w:sz w:val="24"/>
                <w:szCs w:val="24"/>
                <w:lang w:eastAsia="zh-CN"/>
              </w:rPr>
            </w:pPr>
            <w:r>
              <w:rPr>
                <w:rFonts w:hint="eastAsia" w:ascii="仿宋" w:hAnsi="仿宋" w:eastAsia="仿宋" w:cs="仿宋"/>
                <w:b w:val="0"/>
                <w:bCs w:val="0"/>
                <w:i w:val="0"/>
                <w:caps w:val="0"/>
                <w:color w:val="auto"/>
                <w:spacing w:val="0"/>
                <w:sz w:val="24"/>
                <w:szCs w:val="24"/>
                <w:shd w:val="clear" w:color="auto" w:fill="FFFFFF"/>
              </w:rPr>
              <w:t>对经营高危险性体育项目单位的行政检查</w:t>
            </w:r>
          </w:p>
        </w:tc>
        <w:tc>
          <w:tcPr>
            <w:tcW w:w="1248" w:type="pct"/>
            <w:vMerge w:val="restar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浔阳</w:t>
            </w:r>
            <w:r>
              <w:rPr>
                <w:rFonts w:hint="eastAsia" w:ascii="仿宋" w:hAnsi="仿宋" w:eastAsia="仿宋" w:cs="仿宋"/>
                <w:sz w:val="24"/>
                <w:szCs w:val="24"/>
                <w:lang w:val="en-US" w:eastAsia="zh-CN"/>
              </w:rPr>
              <w:t>区教体局</w:t>
            </w:r>
          </w:p>
          <w:p>
            <w:pPr>
              <w:spacing w:line="640" w:lineRule="exact"/>
              <w:jc w:val="center"/>
              <w:rPr>
                <w:rFonts w:hint="eastAsia" w:ascii="仿宋" w:hAnsi="仿宋" w:eastAsia="仿宋" w:cs="仿宋"/>
                <w:sz w:val="24"/>
                <w:szCs w:val="24"/>
              </w:rPr>
            </w:pPr>
          </w:p>
        </w:tc>
        <w:tc>
          <w:tcPr>
            <w:tcW w:w="840"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807" w:type="pct"/>
            <w:vAlign w:val="center"/>
          </w:tcPr>
          <w:p>
            <w:pPr>
              <w:spacing w:line="6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55"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648"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b w:val="0"/>
                <w:bCs w:val="0"/>
                <w:i w:val="0"/>
                <w:caps w:val="0"/>
                <w:color w:val="auto"/>
                <w:spacing w:val="0"/>
                <w:sz w:val="24"/>
                <w:szCs w:val="24"/>
                <w:shd w:val="clear" w:color="auto" w:fill="FFFFFF"/>
              </w:rPr>
              <w:t>对幼儿园的行政检查</w:t>
            </w:r>
          </w:p>
        </w:tc>
        <w:tc>
          <w:tcPr>
            <w:tcW w:w="1248" w:type="pct"/>
            <w:vMerge w:val="continue"/>
            <w:vAlign w:val="center"/>
          </w:tcPr>
          <w:p>
            <w:pPr>
              <w:spacing w:line="640" w:lineRule="exact"/>
              <w:jc w:val="center"/>
              <w:rPr>
                <w:rFonts w:hint="eastAsia" w:ascii="仿宋" w:hAnsi="仿宋" w:eastAsia="仿宋" w:cs="仿宋"/>
                <w:sz w:val="24"/>
                <w:szCs w:val="24"/>
              </w:rPr>
            </w:pPr>
          </w:p>
        </w:tc>
        <w:tc>
          <w:tcPr>
            <w:tcW w:w="840"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20%</w:t>
            </w:r>
          </w:p>
        </w:tc>
        <w:tc>
          <w:tcPr>
            <w:tcW w:w="807"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455"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648"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b w:val="0"/>
                <w:bCs w:val="0"/>
                <w:i w:val="0"/>
                <w:caps w:val="0"/>
                <w:color w:val="auto"/>
                <w:spacing w:val="0"/>
                <w:sz w:val="24"/>
                <w:szCs w:val="24"/>
                <w:shd w:val="clear" w:color="auto" w:fill="FFFFFF"/>
              </w:rPr>
              <w:t>对校外培训机构办学行为的行政检查</w:t>
            </w:r>
          </w:p>
        </w:tc>
        <w:tc>
          <w:tcPr>
            <w:tcW w:w="1248" w:type="pct"/>
            <w:vMerge w:val="continue"/>
            <w:vAlign w:val="center"/>
          </w:tcPr>
          <w:p>
            <w:pPr>
              <w:spacing w:line="640" w:lineRule="exact"/>
              <w:jc w:val="center"/>
              <w:rPr>
                <w:rFonts w:hint="eastAsia" w:ascii="仿宋" w:hAnsi="仿宋" w:eastAsia="仿宋" w:cs="仿宋"/>
                <w:sz w:val="24"/>
                <w:szCs w:val="24"/>
              </w:rPr>
            </w:pPr>
          </w:p>
        </w:tc>
        <w:tc>
          <w:tcPr>
            <w:tcW w:w="840"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807"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55"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64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全区性社会团体检查</w:t>
            </w:r>
          </w:p>
        </w:tc>
        <w:tc>
          <w:tcPr>
            <w:tcW w:w="1248" w:type="pct"/>
            <w:vMerge w:val="restar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浔阳区民政局</w:t>
            </w:r>
          </w:p>
          <w:p>
            <w:pPr>
              <w:spacing w:line="640" w:lineRule="exact"/>
              <w:jc w:val="center"/>
              <w:rPr>
                <w:rFonts w:hint="eastAsia" w:ascii="仿宋" w:hAnsi="仿宋" w:eastAsia="仿宋" w:cs="仿宋"/>
                <w:sz w:val="24"/>
                <w:szCs w:val="24"/>
              </w:rPr>
            </w:pPr>
          </w:p>
        </w:tc>
        <w:tc>
          <w:tcPr>
            <w:tcW w:w="840"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807"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55"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64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全区性民办非企业单位检查</w:t>
            </w:r>
          </w:p>
        </w:tc>
        <w:tc>
          <w:tcPr>
            <w:tcW w:w="1248" w:type="pct"/>
            <w:vMerge w:val="continue"/>
            <w:vAlign w:val="center"/>
          </w:tcPr>
          <w:p>
            <w:pPr>
              <w:spacing w:line="640" w:lineRule="exact"/>
              <w:jc w:val="center"/>
              <w:rPr>
                <w:rFonts w:hint="eastAsia" w:ascii="仿宋" w:hAnsi="仿宋" w:eastAsia="仿宋" w:cs="仿宋"/>
                <w:sz w:val="24"/>
                <w:szCs w:val="24"/>
              </w:rPr>
            </w:pPr>
          </w:p>
        </w:tc>
        <w:tc>
          <w:tcPr>
            <w:tcW w:w="840"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807"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1次/年</w:t>
            </w:r>
          </w:p>
        </w:tc>
      </w:tr>
    </w:tbl>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905"/>
        <w:gridCol w:w="2196"/>
        <w:gridCol w:w="148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61" w:type="pct"/>
            <w:noWrap w:val="0"/>
            <w:vAlign w:val="center"/>
          </w:tcPr>
          <w:p>
            <w:pPr>
              <w:spacing w:line="6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1643"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对消防技术服务机构的行政检查</w:t>
            </w:r>
          </w:p>
        </w:tc>
        <w:tc>
          <w:tcPr>
            <w:tcW w:w="1242" w:type="pct"/>
            <w:vMerge w:val="restart"/>
            <w:noWrap w:val="0"/>
            <w:vAlign w:val="center"/>
          </w:tcPr>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浔阳区消防救援大队</w:t>
            </w:r>
          </w:p>
          <w:p>
            <w:pPr>
              <w:spacing w:line="640" w:lineRule="exact"/>
              <w:jc w:val="center"/>
              <w:rPr>
                <w:rFonts w:hint="eastAsia" w:ascii="仿宋" w:hAnsi="仿宋" w:eastAsia="仿宋" w:cs="仿宋"/>
                <w:kern w:val="0"/>
                <w:sz w:val="24"/>
                <w:szCs w:val="24"/>
                <w:lang w:val="en-US" w:eastAsia="zh-CN"/>
              </w:rPr>
            </w:pPr>
          </w:p>
          <w:p>
            <w:pPr>
              <w:spacing w:line="640" w:lineRule="exact"/>
              <w:jc w:val="center"/>
              <w:rPr>
                <w:rFonts w:hint="eastAsia" w:ascii="仿宋" w:hAnsi="仿宋" w:eastAsia="仿宋" w:cs="仿宋"/>
                <w:kern w:val="0"/>
                <w:sz w:val="24"/>
                <w:szCs w:val="24"/>
                <w:lang w:val="en-US" w:eastAsia="zh-CN"/>
              </w:rPr>
            </w:pPr>
          </w:p>
          <w:p>
            <w:pPr>
              <w:spacing w:line="640" w:lineRule="exact"/>
              <w:jc w:val="center"/>
              <w:rPr>
                <w:rFonts w:hint="eastAsia" w:ascii="仿宋" w:hAnsi="仿宋" w:eastAsia="仿宋" w:cs="仿宋"/>
                <w:kern w:val="0"/>
                <w:sz w:val="24"/>
                <w:szCs w:val="24"/>
                <w:lang w:val="en-US" w:eastAsia="zh-CN"/>
              </w:rPr>
            </w:pPr>
          </w:p>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浔阳区消防救援大队</w:t>
            </w:r>
          </w:p>
          <w:p>
            <w:pPr>
              <w:spacing w:line="640" w:lineRule="exact"/>
              <w:jc w:val="center"/>
              <w:rPr>
                <w:rFonts w:hint="eastAsia" w:ascii="仿宋" w:hAnsi="仿宋" w:eastAsia="仿宋" w:cs="仿宋"/>
                <w:kern w:val="0"/>
                <w:sz w:val="24"/>
                <w:szCs w:val="24"/>
              </w:rPr>
            </w:pPr>
          </w:p>
        </w:tc>
        <w:tc>
          <w:tcPr>
            <w:tcW w:w="842" w:type="pct"/>
            <w:noWrap w:val="0"/>
            <w:vAlign w:val="center"/>
          </w:tcPr>
          <w:p>
            <w:pPr>
              <w:spacing w:line="6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0</w:t>
            </w:r>
            <w:r>
              <w:rPr>
                <w:rFonts w:hint="eastAsia" w:ascii="仿宋" w:hAnsi="仿宋" w:eastAsia="仿宋" w:cs="仿宋"/>
                <w:kern w:val="0"/>
                <w:sz w:val="24"/>
                <w:szCs w:val="24"/>
                <w:lang w:val="en-US" w:eastAsia="zh-CN"/>
              </w:rPr>
              <w:t>%</w:t>
            </w:r>
          </w:p>
        </w:tc>
        <w:tc>
          <w:tcPr>
            <w:tcW w:w="810" w:type="pct"/>
            <w:noWrap w:val="0"/>
            <w:vAlign w:val="center"/>
          </w:tcPr>
          <w:p>
            <w:pPr>
              <w:spacing w:line="64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&gt;=1</w:t>
            </w:r>
            <w:r>
              <w:rPr>
                <w:rFonts w:hint="eastAsia" w:ascii="仿宋" w:hAnsi="仿宋" w:eastAsia="仿宋" w:cs="仿宋"/>
                <w:kern w:val="0"/>
                <w:sz w:val="24"/>
                <w:szCs w:val="24"/>
                <w:lang w:eastAsia="zh-CN"/>
              </w:rPr>
              <w:t>次</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61" w:type="pct"/>
            <w:noWrap w:val="0"/>
            <w:vAlign w:val="center"/>
          </w:tcPr>
          <w:p>
            <w:pPr>
              <w:spacing w:line="6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1643"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对一级注册消防工程师的注册和执业活动的行政检查</w:t>
            </w:r>
          </w:p>
        </w:tc>
        <w:tc>
          <w:tcPr>
            <w:tcW w:w="1242" w:type="pct"/>
            <w:vMerge w:val="continue"/>
            <w:noWrap w:val="0"/>
            <w:vAlign w:val="center"/>
          </w:tcPr>
          <w:p>
            <w:pPr>
              <w:spacing w:line="640" w:lineRule="exact"/>
              <w:jc w:val="center"/>
              <w:rPr>
                <w:rFonts w:hint="eastAsia" w:ascii="仿宋" w:hAnsi="仿宋" w:eastAsia="仿宋" w:cs="仿宋"/>
                <w:kern w:val="0"/>
                <w:sz w:val="24"/>
                <w:szCs w:val="24"/>
              </w:rPr>
            </w:pPr>
          </w:p>
        </w:tc>
        <w:tc>
          <w:tcPr>
            <w:tcW w:w="842"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100</w:t>
            </w:r>
            <w:r>
              <w:rPr>
                <w:rFonts w:hint="eastAsia" w:ascii="仿宋" w:hAnsi="仿宋" w:eastAsia="仿宋" w:cs="仿宋"/>
                <w:kern w:val="0"/>
                <w:sz w:val="24"/>
                <w:szCs w:val="24"/>
                <w:lang w:val="en-US" w:eastAsia="zh-CN"/>
              </w:rPr>
              <w:t>%</w:t>
            </w:r>
          </w:p>
        </w:tc>
        <w:tc>
          <w:tcPr>
            <w:tcW w:w="810"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&gt;=1</w:t>
            </w:r>
            <w:r>
              <w:rPr>
                <w:rFonts w:hint="eastAsia" w:ascii="仿宋" w:hAnsi="仿宋" w:eastAsia="仿宋" w:cs="仿宋"/>
                <w:kern w:val="0"/>
                <w:sz w:val="24"/>
                <w:szCs w:val="24"/>
                <w:lang w:eastAsia="zh-CN"/>
              </w:rPr>
              <w:t>次</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461" w:type="pct"/>
            <w:noWrap w:val="0"/>
            <w:vAlign w:val="center"/>
          </w:tcPr>
          <w:p>
            <w:pPr>
              <w:spacing w:line="64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9</w:t>
            </w:r>
          </w:p>
        </w:tc>
        <w:tc>
          <w:tcPr>
            <w:tcW w:w="1643"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对公众聚集场所投入使用、营业前的消防安全检查</w:t>
            </w:r>
          </w:p>
        </w:tc>
        <w:tc>
          <w:tcPr>
            <w:tcW w:w="1242" w:type="pct"/>
            <w:vMerge w:val="continue"/>
            <w:noWrap w:val="0"/>
            <w:vAlign w:val="center"/>
          </w:tcPr>
          <w:p>
            <w:pPr>
              <w:spacing w:line="640" w:lineRule="exact"/>
              <w:jc w:val="center"/>
              <w:rPr>
                <w:rFonts w:hint="eastAsia" w:ascii="仿宋" w:hAnsi="仿宋" w:eastAsia="仿宋" w:cs="仿宋"/>
                <w:kern w:val="0"/>
                <w:sz w:val="24"/>
                <w:szCs w:val="24"/>
              </w:rPr>
            </w:pPr>
          </w:p>
        </w:tc>
        <w:tc>
          <w:tcPr>
            <w:tcW w:w="842"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100</w:t>
            </w:r>
            <w:r>
              <w:rPr>
                <w:rFonts w:hint="eastAsia" w:ascii="仿宋" w:hAnsi="仿宋" w:eastAsia="仿宋" w:cs="仿宋"/>
                <w:kern w:val="0"/>
                <w:sz w:val="24"/>
                <w:szCs w:val="24"/>
                <w:lang w:val="en-US" w:eastAsia="zh-CN"/>
              </w:rPr>
              <w:t>%</w:t>
            </w:r>
          </w:p>
        </w:tc>
        <w:tc>
          <w:tcPr>
            <w:tcW w:w="810"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&gt;=1</w:t>
            </w:r>
            <w:r>
              <w:rPr>
                <w:rFonts w:hint="eastAsia" w:ascii="仿宋" w:hAnsi="仿宋" w:eastAsia="仿宋" w:cs="仿宋"/>
                <w:kern w:val="0"/>
                <w:sz w:val="24"/>
                <w:szCs w:val="24"/>
                <w:lang w:eastAsia="zh-CN"/>
              </w:rPr>
              <w:t>次</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lang w:eastAsia="zh-CN"/>
              </w:rPr>
              <w:t>年</w:t>
            </w:r>
          </w:p>
        </w:tc>
      </w:tr>
    </w:tbl>
    <w:tbl>
      <w:tblPr>
        <w:tblStyle w:val="4"/>
        <w:tblW w:w="499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905"/>
        <w:gridCol w:w="2195"/>
        <w:gridCol w:w="148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644"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对排放污染物的企业事业单位和其他生产经营者的行政检查</w:t>
            </w:r>
          </w:p>
        </w:tc>
        <w:tc>
          <w:tcPr>
            <w:tcW w:w="1242" w:type="pct"/>
            <w:vMerge w:val="restart"/>
            <w:vAlign w:val="center"/>
          </w:tcPr>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color w:val="0000FF"/>
                <w:sz w:val="24"/>
                <w:szCs w:val="24"/>
                <w:vertAlign w:val="baseline"/>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九江市浔阳生态环境局</w:t>
            </w:r>
          </w:p>
          <w:p>
            <w:pPr>
              <w:jc w:val="center"/>
              <w:rPr>
                <w:rFonts w:hint="eastAsia" w:ascii="仿宋" w:hAnsi="仿宋" w:eastAsia="仿宋" w:cs="仿宋"/>
                <w:sz w:val="24"/>
                <w:szCs w:val="24"/>
                <w:vertAlign w:val="baseline"/>
                <w:lang w:val="en-US" w:eastAsia="zh-CN"/>
              </w:rPr>
            </w:pPr>
          </w:p>
        </w:tc>
        <w:tc>
          <w:tcPr>
            <w:tcW w:w="841" w:type="pc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重点排污单位抽查比例每季度不低于25%,在编在岗执法人员数量与一般排污单位抽查数量比每年不低于1:10。</w:t>
            </w:r>
          </w:p>
        </w:tc>
        <w:tc>
          <w:tcPr>
            <w:tcW w:w="809"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1644"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对建设项目投入生产或者使用后所产生的环境影响进行跟踪检查的行政检查</w:t>
            </w:r>
          </w:p>
        </w:tc>
        <w:tc>
          <w:tcPr>
            <w:tcW w:w="1242" w:type="pct"/>
            <w:vMerge w:val="continue"/>
            <w:vAlign w:val="center"/>
          </w:tcPr>
          <w:p>
            <w:pPr>
              <w:jc w:val="center"/>
              <w:rPr>
                <w:rFonts w:hint="eastAsia" w:ascii="仿宋" w:hAnsi="仿宋" w:eastAsia="仿宋" w:cs="仿宋"/>
                <w:sz w:val="24"/>
                <w:szCs w:val="24"/>
                <w:vertAlign w:val="baseline"/>
                <w:lang w:val="en-US" w:eastAsia="zh-CN"/>
              </w:rPr>
            </w:pPr>
          </w:p>
        </w:tc>
        <w:tc>
          <w:tcPr>
            <w:tcW w:w="841"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已建成或投入生产的建设项目抽查比例不低于5%。</w:t>
            </w:r>
          </w:p>
        </w:tc>
        <w:tc>
          <w:tcPr>
            <w:tcW w:w="809" w:type="pct"/>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62"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644"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对学校卫生、托幼机构卫生工作的行政检查</w:t>
            </w:r>
          </w:p>
        </w:tc>
        <w:tc>
          <w:tcPr>
            <w:tcW w:w="1242" w:type="pct"/>
            <w:vMerge w:val="restar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eastAsia="zh-CN"/>
              </w:rPr>
              <w:t>浔阳区卫生健康委员会</w:t>
            </w:r>
          </w:p>
          <w:p>
            <w:pPr>
              <w:spacing w:line="640" w:lineRule="exact"/>
              <w:jc w:val="center"/>
              <w:rPr>
                <w:rFonts w:hint="eastAsia" w:ascii="仿宋" w:hAnsi="仿宋" w:eastAsia="仿宋" w:cs="仿宋"/>
                <w:sz w:val="24"/>
                <w:szCs w:val="24"/>
              </w:rPr>
            </w:pPr>
          </w:p>
        </w:tc>
        <w:tc>
          <w:tcPr>
            <w:tcW w:w="841"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809"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62"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644" w:type="pct"/>
            <w:vAlign w:val="center"/>
          </w:tcPr>
          <w:p>
            <w:pPr>
              <w:spacing w:line="6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对公共场所卫生的行政检查</w:t>
            </w:r>
          </w:p>
        </w:tc>
        <w:tc>
          <w:tcPr>
            <w:tcW w:w="1242" w:type="pct"/>
            <w:vMerge w:val="continue"/>
            <w:vAlign w:val="center"/>
          </w:tcPr>
          <w:p>
            <w:pPr>
              <w:spacing w:line="640" w:lineRule="exact"/>
              <w:jc w:val="center"/>
              <w:rPr>
                <w:rFonts w:hint="eastAsia" w:ascii="仿宋" w:hAnsi="仿宋" w:eastAsia="仿宋" w:cs="仿宋"/>
                <w:sz w:val="24"/>
                <w:szCs w:val="24"/>
              </w:rPr>
            </w:pPr>
          </w:p>
        </w:tc>
        <w:tc>
          <w:tcPr>
            <w:tcW w:w="841"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809"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462"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644" w:type="pct"/>
            <w:vAlign w:val="center"/>
          </w:tcPr>
          <w:p>
            <w:pPr>
              <w:spacing w:line="6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生活饮用水卫生监督</w:t>
            </w:r>
          </w:p>
        </w:tc>
        <w:tc>
          <w:tcPr>
            <w:tcW w:w="1242" w:type="pct"/>
            <w:vMerge w:val="continue"/>
            <w:vAlign w:val="center"/>
          </w:tcPr>
          <w:p>
            <w:pPr>
              <w:spacing w:line="640" w:lineRule="exact"/>
              <w:jc w:val="center"/>
              <w:rPr>
                <w:rFonts w:hint="eastAsia" w:ascii="仿宋" w:hAnsi="仿宋" w:eastAsia="仿宋" w:cs="仿宋"/>
                <w:sz w:val="24"/>
                <w:szCs w:val="24"/>
              </w:rPr>
            </w:pPr>
          </w:p>
        </w:tc>
        <w:tc>
          <w:tcPr>
            <w:tcW w:w="841"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p>
        </w:tc>
        <w:tc>
          <w:tcPr>
            <w:tcW w:w="809"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1次/年</w:t>
            </w:r>
          </w:p>
        </w:tc>
      </w:tr>
    </w:tbl>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907"/>
        <w:gridCol w:w="2194"/>
        <w:gridCol w:w="1487"/>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62" w:type="pct"/>
            <w:noWrap w:val="0"/>
            <w:vAlign w:val="center"/>
          </w:tcPr>
          <w:p>
            <w:pPr>
              <w:spacing w:line="6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5</w:t>
            </w:r>
          </w:p>
        </w:tc>
        <w:tc>
          <w:tcPr>
            <w:tcW w:w="1644"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对金融机构营业场所和金库安全防范设施建设情况的行政检查</w:t>
            </w:r>
          </w:p>
        </w:tc>
        <w:tc>
          <w:tcPr>
            <w:tcW w:w="1241" w:type="pct"/>
            <w:vMerge w:val="restart"/>
            <w:noWrap w:val="0"/>
            <w:vAlign w:val="center"/>
          </w:tcPr>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浔阳区</w:t>
            </w:r>
            <w:r>
              <w:rPr>
                <w:rFonts w:hint="eastAsia" w:ascii="仿宋" w:hAnsi="仿宋" w:eastAsia="仿宋" w:cs="仿宋"/>
                <w:kern w:val="0"/>
                <w:sz w:val="24"/>
                <w:szCs w:val="24"/>
                <w:lang w:eastAsia="zh-CN"/>
              </w:rPr>
              <w:t>公安分局</w:t>
            </w:r>
          </w:p>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p>
          <w:p>
            <w:pPr>
              <w:spacing w:line="640" w:lineRule="exact"/>
              <w:jc w:val="center"/>
              <w:rPr>
                <w:rFonts w:hint="eastAsia" w:ascii="仿宋" w:hAnsi="仿宋" w:eastAsia="仿宋" w:cs="仿宋"/>
                <w:kern w:val="0"/>
                <w:sz w:val="24"/>
                <w:szCs w:val="24"/>
              </w:rPr>
            </w:pPr>
          </w:p>
        </w:tc>
        <w:tc>
          <w:tcPr>
            <w:tcW w:w="841" w:type="pct"/>
            <w:noWrap w:val="0"/>
            <w:vAlign w:val="center"/>
          </w:tcPr>
          <w:p>
            <w:pPr>
              <w:spacing w:line="6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5</w:t>
            </w:r>
            <w:r>
              <w:rPr>
                <w:rFonts w:hint="eastAsia" w:ascii="仿宋" w:hAnsi="仿宋" w:eastAsia="仿宋" w:cs="仿宋"/>
                <w:kern w:val="0"/>
                <w:sz w:val="24"/>
                <w:szCs w:val="24"/>
                <w:lang w:val="en-US" w:eastAsia="zh-CN"/>
              </w:rPr>
              <w:t>%</w:t>
            </w:r>
          </w:p>
        </w:tc>
        <w:tc>
          <w:tcPr>
            <w:tcW w:w="810"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62" w:type="pct"/>
            <w:noWrap w:val="0"/>
            <w:vAlign w:val="center"/>
          </w:tcPr>
          <w:p>
            <w:pPr>
              <w:spacing w:line="6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16</w:t>
            </w:r>
          </w:p>
        </w:tc>
        <w:tc>
          <w:tcPr>
            <w:tcW w:w="1644"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对保安从业单位、保安培训单位、保安员及其服务活动的行政检查</w:t>
            </w:r>
          </w:p>
        </w:tc>
        <w:tc>
          <w:tcPr>
            <w:tcW w:w="1241" w:type="pct"/>
            <w:vMerge w:val="continue"/>
            <w:noWrap w:val="0"/>
            <w:vAlign w:val="center"/>
          </w:tcPr>
          <w:p>
            <w:pPr>
              <w:spacing w:line="640" w:lineRule="exact"/>
              <w:jc w:val="center"/>
              <w:rPr>
                <w:rFonts w:hint="eastAsia" w:ascii="仿宋" w:hAnsi="仿宋" w:eastAsia="仿宋" w:cs="仿宋"/>
                <w:kern w:val="0"/>
                <w:sz w:val="24"/>
                <w:szCs w:val="24"/>
              </w:rPr>
            </w:pPr>
          </w:p>
        </w:tc>
        <w:tc>
          <w:tcPr>
            <w:tcW w:w="841"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val="en-US" w:eastAsia="zh-CN"/>
              </w:rPr>
              <w:t>%</w:t>
            </w:r>
          </w:p>
        </w:tc>
        <w:tc>
          <w:tcPr>
            <w:tcW w:w="810"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462" w:type="pct"/>
            <w:noWrap w:val="0"/>
            <w:vAlign w:val="center"/>
          </w:tcPr>
          <w:p>
            <w:pPr>
              <w:spacing w:line="6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17</w:t>
            </w:r>
          </w:p>
        </w:tc>
        <w:tc>
          <w:tcPr>
            <w:tcW w:w="1644"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对配备公务用枪（弹药）情况的行政检查</w:t>
            </w:r>
          </w:p>
        </w:tc>
        <w:tc>
          <w:tcPr>
            <w:tcW w:w="1241" w:type="pct"/>
            <w:vMerge w:val="continue"/>
            <w:noWrap w:val="0"/>
            <w:vAlign w:val="center"/>
          </w:tcPr>
          <w:p>
            <w:pPr>
              <w:spacing w:line="640" w:lineRule="exact"/>
              <w:jc w:val="center"/>
              <w:rPr>
                <w:rFonts w:hint="eastAsia" w:ascii="仿宋" w:hAnsi="仿宋" w:eastAsia="仿宋" w:cs="仿宋"/>
                <w:kern w:val="0"/>
                <w:sz w:val="24"/>
                <w:szCs w:val="24"/>
              </w:rPr>
            </w:pPr>
          </w:p>
        </w:tc>
        <w:tc>
          <w:tcPr>
            <w:tcW w:w="841"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val="en-US" w:eastAsia="zh-CN"/>
              </w:rPr>
              <w:t>%</w:t>
            </w:r>
          </w:p>
        </w:tc>
        <w:tc>
          <w:tcPr>
            <w:tcW w:w="810"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462" w:type="pct"/>
            <w:noWrap w:val="0"/>
            <w:vAlign w:val="center"/>
          </w:tcPr>
          <w:p>
            <w:pPr>
              <w:spacing w:line="6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8</w:t>
            </w:r>
          </w:p>
        </w:tc>
        <w:tc>
          <w:tcPr>
            <w:tcW w:w="1644"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对公务用枪持枪情况的行政检查</w:t>
            </w:r>
          </w:p>
        </w:tc>
        <w:tc>
          <w:tcPr>
            <w:tcW w:w="1241" w:type="pct"/>
            <w:vMerge w:val="continue"/>
            <w:noWrap w:val="0"/>
            <w:vAlign w:val="center"/>
          </w:tcPr>
          <w:p>
            <w:pPr>
              <w:spacing w:line="640" w:lineRule="exact"/>
              <w:jc w:val="center"/>
              <w:rPr>
                <w:rFonts w:hint="eastAsia" w:ascii="仿宋" w:hAnsi="仿宋" w:eastAsia="仿宋" w:cs="仿宋"/>
                <w:kern w:val="0"/>
                <w:sz w:val="24"/>
                <w:szCs w:val="24"/>
              </w:rPr>
            </w:pPr>
          </w:p>
        </w:tc>
        <w:tc>
          <w:tcPr>
            <w:tcW w:w="841"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val="en-US" w:eastAsia="zh-CN"/>
              </w:rPr>
              <w:t>%</w:t>
            </w:r>
          </w:p>
        </w:tc>
        <w:tc>
          <w:tcPr>
            <w:tcW w:w="810"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462" w:type="pct"/>
            <w:noWrap w:val="0"/>
            <w:vAlign w:val="center"/>
          </w:tcPr>
          <w:p>
            <w:pPr>
              <w:spacing w:line="6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19</w:t>
            </w:r>
          </w:p>
        </w:tc>
        <w:tc>
          <w:tcPr>
            <w:tcW w:w="1644"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对危险化学品单位的行政检查</w:t>
            </w:r>
          </w:p>
        </w:tc>
        <w:tc>
          <w:tcPr>
            <w:tcW w:w="1241" w:type="pct"/>
            <w:vMerge w:val="continue"/>
            <w:noWrap w:val="0"/>
            <w:vAlign w:val="center"/>
          </w:tcPr>
          <w:p>
            <w:pPr>
              <w:spacing w:line="640" w:lineRule="exact"/>
              <w:jc w:val="center"/>
              <w:rPr>
                <w:rFonts w:hint="eastAsia" w:ascii="仿宋" w:hAnsi="仿宋" w:eastAsia="仿宋" w:cs="仿宋"/>
                <w:kern w:val="0"/>
                <w:sz w:val="24"/>
                <w:szCs w:val="24"/>
              </w:rPr>
            </w:pPr>
          </w:p>
        </w:tc>
        <w:tc>
          <w:tcPr>
            <w:tcW w:w="841"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val="en-US" w:eastAsia="zh-CN"/>
              </w:rPr>
              <w:t>%</w:t>
            </w:r>
          </w:p>
        </w:tc>
        <w:tc>
          <w:tcPr>
            <w:tcW w:w="810"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462" w:type="pct"/>
            <w:noWrap w:val="0"/>
            <w:vAlign w:val="center"/>
          </w:tcPr>
          <w:p>
            <w:pPr>
              <w:spacing w:line="6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w:t>
            </w:r>
          </w:p>
        </w:tc>
        <w:tc>
          <w:tcPr>
            <w:tcW w:w="1644"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对第三类易制毒化学品运输备案的行政检查</w:t>
            </w:r>
          </w:p>
        </w:tc>
        <w:tc>
          <w:tcPr>
            <w:tcW w:w="1241" w:type="pct"/>
            <w:vMerge w:val="continue"/>
            <w:noWrap w:val="0"/>
            <w:vAlign w:val="center"/>
          </w:tcPr>
          <w:p>
            <w:pPr>
              <w:spacing w:line="640" w:lineRule="exact"/>
              <w:jc w:val="center"/>
              <w:rPr>
                <w:rFonts w:hint="eastAsia" w:ascii="仿宋" w:hAnsi="仿宋" w:eastAsia="仿宋" w:cs="仿宋"/>
                <w:kern w:val="0"/>
                <w:sz w:val="24"/>
                <w:szCs w:val="24"/>
              </w:rPr>
            </w:pPr>
          </w:p>
        </w:tc>
        <w:tc>
          <w:tcPr>
            <w:tcW w:w="841"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val="en-US" w:eastAsia="zh-CN"/>
              </w:rPr>
              <w:t>%</w:t>
            </w:r>
          </w:p>
        </w:tc>
        <w:tc>
          <w:tcPr>
            <w:tcW w:w="810"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462" w:type="pct"/>
            <w:noWrap w:val="0"/>
            <w:vAlign w:val="center"/>
          </w:tcPr>
          <w:p>
            <w:pPr>
              <w:spacing w:line="64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w:t>
            </w:r>
          </w:p>
        </w:tc>
        <w:tc>
          <w:tcPr>
            <w:tcW w:w="1644"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对第二类、第三类易制毒化学品购买备案的行政检查</w:t>
            </w:r>
          </w:p>
        </w:tc>
        <w:tc>
          <w:tcPr>
            <w:tcW w:w="1241" w:type="pct"/>
            <w:vMerge w:val="continue"/>
            <w:noWrap w:val="0"/>
            <w:vAlign w:val="center"/>
          </w:tcPr>
          <w:p>
            <w:pPr>
              <w:spacing w:line="640" w:lineRule="exact"/>
              <w:jc w:val="center"/>
              <w:rPr>
                <w:rFonts w:hint="eastAsia" w:ascii="仿宋" w:hAnsi="仿宋" w:eastAsia="仿宋" w:cs="仿宋"/>
                <w:kern w:val="0"/>
                <w:sz w:val="24"/>
                <w:szCs w:val="24"/>
              </w:rPr>
            </w:pPr>
          </w:p>
        </w:tc>
        <w:tc>
          <w:tcPr>
            <w:tcW w:w="841"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lang w:val="en-US" w:eastAsia="zh-CN"/>
              </w:rPr>
              <w:t>%</w:t>
            </w:r>
          </w:p>
        </w:tc>
        <w:tc>
          <w:tcPr>
            <w:tcW w:w="810" w:type="pct"/>
            <w:noWrap w:val="0"/>
            <w:vAlign w:val="center"/>
          </w:tcPr>
          <w:p>
            <w:pPr>
              <w:spacing w:line="640" w:lineRule="exact"/>
              <w:jc w:val="center"/>
              <w:rPr>
                <w:rFonts w:hint="eastAsia" w:ascii="仿宋" w:hAnsi="仿宋" w:eastAsia="仿宋" w:cs="仿宋"/>
                <w:kern w:val="0"/>
                <w:sz w:val="24"/>
                <w:szCs w:val="24"/>
              </w:rPr>
            </w:pPr>
            <w:r>
              <w:rPr>
                <w:rFonts w:hint="eastAsia" w:ascii="仿宋" w:hAnsi="仿宋" w:eastAsia="仿宋" w:cs="仿宋"/>
                <w:sz w:val="24"/>
                <w:szCs w:val="24"/>
                <w:lang w:val="en-US" w:eastAsia="zh-CN"/>
              </w:rPr>
              <w:t>1次/年</w:t>
            </w:r>
          </w:p>
        </w:tc>
      </w:tr>
    </w:tbl>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926"/>
        <w:gridCol w:w="2182"/>
        <w:gridCol w:w="1473"/>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对地质灾害防治资质单位的行政检查</w:t>
            </w:r>
          </w:p>
        </w:tc>
        <w:tc>
          <w:tcPr>
            <w:tcW w:w="1234" w:type="pct"/>
            <w:vMerge w:val="restart"/>
            <w:vAlign w:val="center"/>
          </w:tcPr>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浔阳区</w:t>
            </w:r>
            <w:r>
              <w:rPr>
                <w:rFonts w:hint="eastAsia" w:ascii="仿宋" w:hAnsi="仿宋" w:eastAsia="仿宋" w:cs="仿宋"/>
                <w:sz w:val="24"/>
                <w:szCs w:val="24"/>
                <w:lang w:val="en-US" w:eastAsia="zh-CN"/>
              </w:rPr>
              <w:t>应急管理局</w:t>
            </w: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浔阳区</w:t>
            </w:r>
            <w:r>
              <w:rPr>
                <w:rFonts w:hint="eastAsia" w:ascii="仿宋" w:hAnsi="仿宋" w:eastAsia="仿宋" w:cs="仿宋"/>
                <w:sz w:val="24"/>
                <w:szCs w:val="24"/>
                <w:lang w:val="en-US" w:eastAsia="zh-CN"/>
              </w:rPr>
              <w:t>应急管理局</w:t>
            </w: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浔阳区</w:t>
            </w:r>
            <w:r>
              <w:rPr>
                <w:rFonts w:hint="eastAsia" w:ascii="仿宋" w:hAnsi="仿宋" w:eastAsia="仿宋" w:cs="仿宋"/>
                <w:sz w:val="24"/>
                <w:szCs w:val="24"/>
                <w:lang w:val="en-US" w:eastAsia="zh-CN"/>
              </w:rPr>
              <w:t>应急管理局</w:t>
            </w: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sz w:val="24"/>
                <w:szCs w:val="24"/>
              </w:rPr>
            </w:pPr>
          </w:p>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5%～20%</w:t>
            </w:r>
          </w:p>
        </w:tc>
        <w:tc>
          <w:tcPr>
            <w:tcW w:w="81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对烟花爆竹零售的行政检查</w:t>
            </w:r>
          </w:p>
        </w:tc>
        <w:tc>
          <w:tcPr>
            <w:tcW w:w="1234" w:type="pct"/>
            <w:vMerge w:val="continue"/>
            <w:vAlign w:val="center"/>
          </w:tcPr>
          <w:p>
            <w:pPr>
              <w:spacing w:line="640" w:lineRule="exact"/>
              <w:jc w:val="center"/>
              <w:rPr>
                <w:rFonts w:hint="eastAsia" w:ascii="仿宋" w:hAnsi="仿宋" w:eastAsia="仿宋" w:cs="仿宋"/>
                <w:sz w:val="24"/>
                <w:szCs w:val="24"/>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20-60%</w:t>
            </w:r>
          </w:p>
        </w:tc>
        <w:tc>
          <w:tcPr>
            <w:tcW w:w="818"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24</w:t>
            </w:r>
            <w:r>
              <w:rPr>
                <w:rFonts w:hint="eastAsia" w:ascii="仿宋" w:hAnsi="仿宋" w:eastAsia="仿宋" w:cs="仿宋"/>
                <w:sz w:val="24"/>
                <w:szCs w:val="24"/>
                <w:lang w:val="en-US" w:eastAsia="zh-CN"/>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对烟花爆竹批发的行政检查</w:t>
            </w:r>
          </w:p>
        </w:tc>
        <w:tc>
          <w:tcPr>
            <w:tcW w:w="1234" w:type="pct"/>
            <w:vMerge w:val="continue"/>
            <w:vAlign w:val="center"/>
          </w:tcPr>
          <w:p>
            <w:pPr>
              <w:spacing w:line="640" w:lineRule="exact"/>
              <w:jc w:val="center"/>
              <w:rPr>
                <w:rFonts w:hint="eastAsia" w:ascii="仿宋" w:hAnsi="仿宋" w:eastAsia="仿宋" w:cs="仿宋"/>
                <w:sz w:val="24"/>
                <w:szCs w:val="24"/>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对烟花爆竹生产的行政检查</w:t>
            </w:r>
          </w:p>
        </w:tc>
        <w:tc>
          <w:tcPr>
            <w:tcW w:w="1234" w:type="pct"/>
            <w:vMerge w:val="continue"/>
            <w:vAlign w:val="center"/>
          </w:tcPr>
          <w:p>
            <w:pPr>
              <w:spacing w:line="640" w:lineRule="exact"/>
              <w:jc w:val="center"/>
              <w:rPr>
                <w:rFonts w:hint="eastAsia" w:ascii="仿宋" w:hAnsi="仿宋" w:eastAsia="仿宋" w:cs="仿宋"/>
                <w:sz w:val="24"/>
                <w:szCs w:val="24"/>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对安全评价、安全生产检测检验机构的行政检查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818"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24</w:t>
            </w:r>
            <w:r>
              <w:rPr>
                <w:rFonts w:hint="eastAsia" w:ascii="仿宋" w:hAnsi="仿宋" w:eastAsia="仿宋" w:cs="仿宋"/>
                <w:sz w:val="24"/>
                <w:szCs w:val="24"/>
                <w:lang w:val="en-US" w:eastAsia="zh-CN"/>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对粉尘涉爆企业安全生产情况的行政检查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对机械企业安全生产情况的行政检查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对液氨制冷企业安全生产情况的行政检查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对冶金企业安全生产情况的行政检查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对建材企业安全生产情况的行政检查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对一般工贸企业安全生产情况的行政检查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对存在有限空间作业企业安全生产情况的行政检查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对有色企业安全生产情况的行政检查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对轻工企业安全生产情况的行政检查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对烟草企业安全生产情况的行政检查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对纺织企业安全生产情况的行政检查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对一般危险化学品生产、储存的行政检查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对非药品类易制毒化学品生产的行政检查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对未依法进行地震安全性评估或未按照地震安全性评估报告结果进行抗震设防的行政检查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818"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对违规开展地震安全性评估的单位的行政检查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r>
              <w:rPr>
                <w:rFonts w:hint="eastAsia" w:ascii="仿宋" w:hAnsi="仿宋" w:eastAsia="仿宋" w:cs="仿宋"/>
                <w:sz w:val="24"/>
                <w:szCs w:val="24"/>
              </w:rPr>
              <w:t>%</w:t>
            </w:r>
          </w:p>
        </w:tc>
        <w:tc>
          <w:tcPr>
            <w:tcW w:w="818"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对未按照地震动参数复核或者地震小区划结果确定的抗震设防要求进行抗震设防行为的行政检查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p>
        </w:tc>
        <w:tc>
          <w:tcPr>
            <w:tcW w:w="81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对未按要求开展防震减灾工作和未按抗震设防要求进行抗震设防的行政检查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p>
        </w:tc>
        <w:tc>
          <w:tcPr>
            <w:tcW w:w="81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w:t>
            </w:r>
          </w:p>
        </w:tc>
        <w:tc>
          <w:tcPr>
            <w:tcW w:w="1655"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rPr>
              <w:t>对各地各部门在地震应急预案、队伍、物资、装备等工作落实情况的行政检查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p>
        </w:tc>
        <w:tc>
          <w:tcPr>
            <w:tcW w:w="81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5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w:t>
            </w:r>
          </w:p>
        </w:tc>
        <w:tc>
          <w:tcPr>
            <w:tcW w:w="1655" w:type="pct"/>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对建筑施工企业安全生产条件的行政检查</w:t>
            </w:r>
          </w:p>
        </w:tc>
        <w:tc>
          <w:tcPr>
            <w:tcW w:w="1234" w:type="pct"/>
            <w:vAlign w:val="center"/>
          </w:tcPr>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p>
          <w:p>
            <w:pPr>
              <w:jc w:val="center"/>
              <w:rPr>
                <w:rFonts w:hint="eastAsia" w:ascii="仿宋" w:hAnsi="仿宋" w:eastAsia="仿宋" w:cs="仿宋"/>
                <w:sz w:val="24"/>
                <w:szCs w:val="24"/>
                <w:lang w:eastAsia="zh-CN"/>
              </w:rPr>
            </w:pPr>
            <w:r>
              <w:rPr>
                <w:rFonts w:hint="eastAsia" w:ascii="仿宋" w:hAnsi="仿宋" w:eastAsia="仿宋" w:cs="仿宋"/>
                <w:color w:val="000000" w:themeColor="text1"/>
                <w:sz w:val="24"/>
                <w:szCs w:val="24"/>
                <w:lang w:eastAsia="zh-CN"/>
                <w14:textFill>
                  <w14:solidFill>
                    <w14:schemeClr w14:val="tx1"/>
                  </w14:solidFill>
                </w14:textFill>
              </w:rPr>
              <w:t>浔阳</w:t>
            </w:r>
            <w:r>
              <w:rPr>
                <w:rFonts w:hint="eastAsia" w:ascii="仿宋" w:hAnsi="仿宋" w:eastAsia="仿宋" w:cs="仿宋"/>
                <w:color w:val="000000" w:themeColor="text1"/>
                <w:sz w:val="24"/>
                <w:szCs w:val="24"/>
                <w14:textFill>
                  <w14:solidFill>
                    <w14:schemeClr w14:val="tx1"/>
                  </w14:solidFill>
                </w14:textFill>
              </w:rPr>
              <w:t>区住建局</w:t>
            </w:r>
          </w:p>
          <w:p>
            <w:pPr>
              <w:spacing w:line="640" w:lineRule="exact"/>
              <w:jc w:val="center"/>
              <w:rPr>
                <w:rFonts w:hint="eastAsia" w:ascii="仿宋" w:hAnsi="仿宋" w:eastAsia="仿宋" w:cs="仿宋"/>
                <w:sz w:val="24"/>
                <w:szCs w:val="24"/>
                <w:lang w:eastAsia="zh-CN"/>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10" w:type="dxa"/>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46</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对市场主体营业执照（登记证）规范使用情况的行政检查</w:t>
            </w:r>
          </w:p>
        </w:tc>
        <w:tc>
          <w:tcPr>
            <w:tcW w:w="1234" w:type="pct"/>
            <w:vMerge w:val="restart"/>
            <w:vAlign w:val="center"/>
          </w:tcPr>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val="en-US" w:eastAsia="zh-CN"/>
              </w:rPr>
            </w:pPr>
          </w:p>
          <w:p>
            <w:pPr>
              <w:spacing w:line="360" w:lineRule="exact"/>
              <w:jc w:val="center"/>
              <w:rPr>
                <w:rFonts w:hint="eastAsia" w:ascii="仿宋" w:hAnsi="仿宋" w:eastAsia="仿宋" w:cs="仿宋"/>
                <w:sz w:val="24"/>
                <w:szCs w:val="24"/>
                <w:lang w:val="en-US" w:eastAsia="zh-CN"/>
              </w:rPr>
            </w:pPr>
          </w:p>
          <w:p>
            <w:pPr>
              <w:spacing w:line="360" w:lineRule="exact"/>
              <w:jc w:val="center"/>
              <w:rPr>
                <w:rFonts w:hint="eastAsia" w:ascii="仿宋" w:hAnsi="仿宋" w:eastAsia="仿宋" w:cs="仿宋"/>
                <w:sz w:val="24"/>
                <w:szCs w:val="24"/>
                <w:lang w:val="en-US" w:eastAsia="zh-CN"/>
              </w:rPr>
            </w:pPr>
          </w:p>
          <w:p>
            <w:pPr>
              <w:spacing w:line="360" w:lineRule="exact"/>
              <w:jc w:val="center"/>
              <w:rPr>
                <w:rFonts w:hint="eastAsia" w:ascii="仿宋" w:hAnsi="仿宋" w:eastAsia="仿宋" w:cs="仿宋"/>
                <w:sz w:val="24"/>
                <w:szCs w:val="24"/>
                <w:lang w:val="en-US" w:eastAsia="zh-CN"/>
              </w:rPr>
            </w:pPr>
          </w:p>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浔阳区</w:t>
            </w:r>
            <w:r>
              <w:rPr>
                <w:rFonts w:hint="eastAsia" w:ascii="仿宋" w:hAnsi="仿宋" w:eastAsia="仿宋" w:cs="仿宋"/>
                <w:sz w:val="24"/>
                <w:szCs w:val="24"/>
              </w:rPr>
              <w:t>市监局</w:t>
            </w: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p>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浔阳区</w:t>
            </w:r>
            <w:r>
              <w:rPr>
                <w:rFonts w:hint="eastAsia" w:ascii="仿宋" w:hAnsi="仿宋" w:eastAsia="仿宋" w:cs="仿宋"/>
                <w:sz w:val="24"/>
                <w:szCs w:val="24"/>
              </w:rPr>
              <w:t>市监局</w:t>
            </w:r>
          </w:p>
          <w:p>
            <w:pPr>
              <w:spacing w:line="340" w:lineRule="exact"/>
              <w:jc w:val="center"/>
              <w:rPr>
                <w:rFonts w:hint="eastAsia" w:ascii="仿宋" w:hAnsi="仿宋" w:eastAsia="仿宋" w:cs="仿宋"/>
                <w:sz w:val="24"/>
                <w:szCs w:val="24"/>
              </w:rPr>
            </w:pPr>
          </w:p>
          <w:p>
            <w:pPr>
              <w:spacing w:line="340" w:lineRule="exact"/>
              <w:jc w:val="center"/>
              <w:rPr>
                <w:rFonts w:hint="eastAsia" w:ascii="仿宋" w:hAnsi="仿宋" w:eastAsia="仿宋" w:cs="仿宋"/>
                <w:sz w:val="24"/>
                <w:szCs w:val="24"/>
              </w:rPr>
            </w:pPr>
          </w:p>
          <w:p>
            <w:pPr>
              <w:spacing w:line="340" w:lineRule="exact"/>
              <w:jc w:val="center"/>
              <w:rPr>
                <w:rFonts w:hint="eastAsia" w:ascii="仿宋" w:hAnsi="仿宋" w:eastAsia="仿宋" w:cs="仿宋"/>
                <w:sz w:val="24"/>
                <w:szCs w:val="24"/>
              </w:rPr>
            </w:pPr>
          </w:p>
          <w:p>
            <w:pPr>
              <w:spacing w:line="340" w:lineRule="exact"/>
              <w:jc w:val="center"/>
              <w:rPr>
                <w:rFonts w:hint="eastAsia" w:ascii="仿宋" w:hAnsi="仿宋" w:eastAsia="仿宋" w:cs="仿宋"/>
                <w:sz w:val="24"/>
                <w:szCs w:val="24"/>
              </w:rPr>
            </w:pPr>
          </w:p>
          <w:p>
            <w:pPr>
              <w:spacing w:line="340" w:lineRule="exact"/>
              <w:jc w:val="center"/>
              <w:rPr>
                <w:rFonts w:hint="eastAsia" w:ascii="仿宋" w:hAnsi="仿宋" w:eastAsia="仿宋" w:cs="仿宋"/>
                <w:sz w:val="24"/>
                <w:szCs w:val="24"/>
              </w:rPr>
            </w:pPr>
          </w:p>
          <w:p>
            <w:pPr>
              <w:spacing w:line="340" w:lineRule="exact"/>
              <w:jc w:val="center"/>
              <w:rPr>
                <w:rFonts w:hint="eastAsia" w:ascii="仿宋" w:hAnsi="仿宋" w:eastAsia="仿宋" w:cs="仿宋"/>
                <w:sz w:val="24"/>
                <w:szCs w:val="24"/>
                <w:lang w:val="en-US" w:eastAsia="zh-CN"/>
              </w:rPr>
            </w:pPr>
          </w:p>
        </w:tc>
        <w:tc>
          <w:tcPr>
            <w:tcW w:w="833"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10" w:type="dxa"/>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47</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对市场主体住所（经营场所）或驻在场所的行政检查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对企业法定代表人（负责人）任职情况的行政检查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对企业提交虚假材料或者采取其他欺诈手段隐瞒重要事实取得登记的行政检查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对列入强制性产品认证目录内产品的行政检查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0" w:type="dxa"/>
            <w:vAlign w:val="center"/>
          </w:tcPr>
          <w:p>
            <w:pPr>
              <w:spacing w:line="3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51</w:t>
            </w:r>
          </w:p>
        </w:tc>
        <w:tc>
          <w:tcPr>
            <w:tcW w:w="1655" w:type="pct"/>
            <w:vAlign w:val="center"/>
          </w:tcPr>
          <w:p>
            <w:pPr>
              <w:jc w:val="center"/>
              <w:rPr>
                <w:rFonts w:hint="eastAsia" w:ascii="仿宋" w:hAnsi="仿宋" w:eastAsia="仿宋" w:cs="仿宋"/>
                <w:sz w:val="24"/>
                <w:szCs w:val="24"/>
                <w:lang w:val="en-US" w:eastAsia="zh-CN"/>
              </w:rPr>
            </w:pPr>
            <w:r>
              <w:rPr>
                <w:rFonts w:hint="eastAsia" w:ascii="仿宋" w:hAnsi="仿宋" w:eastAsia="仿宋" w:cs="仿宋"/>
                <w:color w:val="000000"/>
                <w:sz w:val="24"/>
                <w:szCs w:val="24"/>
              </w:rPr>
              <w:t>对认证证书和认证标志的使用情况的行政检查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少于5%</w:t>
            </w:r>
          </w:p>
        </w:tc>
        <w:tc>
          <w:tcPr>
            <w:tcW w:w="818"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对是否办理计量器具型式批准，是否按照批准的型式组织生产的行政检查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少于5%</w:t>
            </w:r>
          </w:p>
        </w:tc>
        <w:tc>
          <w:tcPr>
            <w:tcW w:w="818"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对市场主体擅自改变主要登记事项或者超出核准登记的经营范围从事经营活动的行政检查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center"/>
          </w:tcPr>
          <w:p>
            <w:pPr>
              <w:spacing w:line="340" w:lineRule="exact"/>
              <w:jc w:val="center"/>
              <w:rPr>
                <w:rFonts w:hint="eastAsia" w:ascii="仿宋" w:hAnsi="仿宋" w:eastAsia="仿宋" w:cs="仿宋"/>
                <w:b/>
                <w:bCs/>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对商标代理机构代理行为的行政检查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对棉花等纤维收购、加工、销售、承储的行政检查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56</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对生产列入目录产品且已经获得生产许可证的企业进行行政检查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57</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对认证从业人员执业行为的行政检查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58</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对授权的法定计量检定机构的行政检查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59</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对法定计量单位的行政检查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对棉花等纤维质量公证检验的行政检查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对国家标准物质质量、生产条件是否符合要求的行政检查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对有机产品认证的行政检查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63</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对计量标准器具出具的数据是否准确可靠的行政检查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少于5%</w:t>
            </w:r>
          </w:p>
        </w:tc>
        <w:tc>
          <w:tcPr>
            <w:tcW w:w="818"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64</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对企业注册资本实缴情况的行政检查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65</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对公共场所的管理者、电信业务经营者、互联网信息服务提供者的行政检查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66</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对广告主申请药品、医疗器械、保健食品和特殊医学用途配方食品广告审查情况的行政检查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少于5%</w:t>
            </w:r>
          </w:p>
        </w:tc>
        <w:tc>
          <w:tcPr>
            <w:tcW w:w="818"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67</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对辖区内的广告发布单位按规定报送《广告业统计报表》的行政检查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少于5%</w:t>
            </w:r>
          </w:p>
        </w:tc>
        <w:tc>
          <w:tcPr>
            <w:tcW w:w="818"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68</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对企业、个体工商户、农民专业合作社公示信息的行政检查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69</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对市场主体经营（驻在）期限的行政检查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70</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对市场主体名称规范使用情况的行政检查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少于3%</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以省局下达为主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对广告未显著标明关闭标志的行政检查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少于5%</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对违法广告代言活动的行政检查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少于5%</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对广告经营者、广告发布者未建立健全相关制度的行政检查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少于5%</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对虚假广告的行政检查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少于5%</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w:t>
            </w:r>
          </w:p>
        </w:tc>
        <w:tc>
          <w:tcPr>
            <w:tcW w:w="1655" w:type="pct"/>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对其他违法广告行为的行政检查</w:t>
            </w:r>
          </w:p>
        </w:tc>
        <w:tc>
          <w:tcPr>
            <w:tcW w:w="1234" w:type="pct"/>
            <w:vMerge w:val="continue"/>
            <w:vAlign w:val="center"/>
          </w:tcPr>
          <w:p>
            <w:pPr>
              <w:spacing w:line="340" w:lineRule="exact"/>
              <w:jc w:val="center"/>
              <w:rPr>
                <w:rFonts w:hint="eastAsia" w:ascii="仿宋" w:hAnsi="仿宋" w:eastAsia="仿宋" w:cs="仿宋"/>
                <w:sz w:val="24"/>
                <w:szCs w:val="24"/>
              </w:rPr>
            </w:pPr>
          </w:p>
        </w:tc>
        <w:tc>
          <w:tcPr>
            <w:tcW w:w="833" w:type="pct"/>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少于5%</w:t>
            </w:r>
          </w:p>
        </w:tc>
        <w:tc>
          <w:tcPr>
            <w:tcW w:w="818" w:type="pct"/>
            <w:vAlign w:val="top"/>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76</w:t>
            </w:r>
          </w:p>
        </w:tc>
        <w:tc>
          <w:tcPr>
            <w:tcW w:w="1655"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对基层法律服务所日常执业和内部管理情况的行政检查</w:t>
            </w:r>
          </w:p>
        </w:tc>
        <w:tc>
          <w:tcPr>
            <w:tcW w:w="1234" w:type="pct"/>
            <w:vMerge w:val="restart"/>
            <w:vAlign w:val="center"/>
          </w:tcPr>
          <w:p>
            <w:pPr>
              <w:spacing w:line="640" w:lineRule="exact"/>
              <w:jc w:val="center"/>
              <w:rPr>
                <w:rFonts w:hint="eastAsia" w:ascii="仿宋" w:hAnsi="仿宋" w:eastAsia="仿宋" w:cs="仿宋"/>
                <w:sz w:val="24"/>
                <w:szCs w:val="24"/>
                <w:lang w:val="en-US" w:eastAsia="zh-CN"/>
              </w:rPr>
            </w:pPr>
          </w:p>
          <w:p>
            <w:pPr>
              <w:spacing w:line="640" w:lineRule="exact"/>
              <w:jc w:val="center"/>
              <w:rPr>
                <w:rFonts w:hint="eastAsia" w:ascii="仿宋" w:hAnsi="仿宋" w:eastAsia="仿宋" w:cs="仿宋"/>
                <w:sz w:val="24"/>
                <w:szCs w:val="24"/>
                <w:lang w:eastAsia="zh-CN"/>
              </w:rPr>
            </w:pPr>
          </w:p>
          <w:p>
            <w:pPr>
              <w:spacing w:line="640" w:lineRule="exact"/>
              <w:jc w:val="center"/>
              <w:rPr>
                <w:rFonts w:hint="eastAsia" w:ascii="仿宋" w:hAnsi="仿宋" w:eastAsia="仿宋" w:cs="仿宋"/>
                <w:sz w:val="24"/>
                <w:szCs w:val="24"/>
                <w:lang w:eastAsia="zh-CN"/>
              </w:rPr>
            </w:pPr>
          </w:p>
          <w:p>
            <w:pPr>
              <w:spacing w:line="640" w:lineRule="exact"/>
              <w:jc w:val="center"/>
              <w:rPr>
                <w:rFonts w:hint="eastAsia" w:ascii="仿宋" w:hAnsi="仿宋" w:eastAsia="仿宋" w:cs="仿宋"/>
                <w:sz w:val="24"/>
                <w:szCs w:val="24"/>
                <w:lang w:eastAsia="zh-CN"/>
              </w:rPr>
            </w:pPr>
          </w:p>
          <w:p>
            <w:pPr>
              <w:spacing w:line="640" w:lineRule="exact"/>
              <w:jc w:val="center"/>
              <w:rPr>
                <w:rFonts w:hint="eastAsia" w:ascii="仿宋" w:hAnsi="仿宋" w:eastAsia="仿宋" w:cs="仿宋"/>
                <w:sz w:val="24"/>
                <w:szCs w:val="24"/>
                <w:lang w:eastAsia="zh-CN"/>
              </w:rPr>
            </w:pPr>
          </w:p>
          <w:p>
            <w:pPr>
              <w:spacing w:line="640" w:lineRule="exact"/>
              <w:jc w:val="center"/>
              <w:rPr>
                <w:rFonts w:hint="eastAsia" w:ascii="仿宋" w:hAnsi="仿宋" w:eastAsia="仿宋" w:cs="仿宋"/>
                <w:sz w:val="24"/>
                <w:szCs w:val="24"/>
                <w:lang w:eastAsia="zh-CN"/>
              </w:rPr>
            </w:pPr>
          </w:p>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浔阳</w:t>
            </w:r>
            <w:r>
              <w:rPr>
                <w:rFonts w:hint="eastAsia" w:ascii="仿宋" w:hAnsi="仿宋" w:eastAsia="仿宋" w:cs="仿宋"/>
                <w:sz w:val="24"/>
                <w:szCs w:val="24"/>
              </w:rPr>
              <w:t>区司法局</w:t>
            </w:r>
          </w:p>
          <w:p>
            <w:pPr>
              <w:spacing w:line="640" w:lineRule="exact"/>
              <w:jc w:val="center"/>
              <w:rPr>
                <w:rFonts w:hint="eastAsia" w:ascii="仿宋" w:hAnsi="仿宋" w:eastAsia="仿宋" w:cs="仿宋"/>
                <w:kern w:val="2"/>
                <w:sz w:val="24"/>
                <w:szCs w:val="24"/>
                <w:lang w:val="en-US" w:eastAsia="zh-CN" w:bidi="ar-SA"/>
              </w:rPr>
            </w:pPr>
          </w:p>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77</w:t>
            </w:r>
          </w:p>
        </w:tc>
        <w:tc>
          <w:tcPr>
            <w:tcW w:w="1655"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对基层法律服务所日常执业和内部管理情况的行政检查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78</w:t>
            </w:r>
          </w:p>
        </w:tc>
        <w:tc>
          <w:tcPr>
            <w:tcW w:w="1655"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对基层法律服务工作者执业情况的行政检查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79</w:t>
            </w:r>
          </w:p>
        </w:tc>
        <w:tc>
          <w:tcPr>
            <w:tcW w:w="1655"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对基层法律服务工作者执业情况的行政检查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80</w:t>
            </w:r>
          </w:p>
        </w:tc>
        <w:tc>
          <w:tcPr>
            <w:tcW w:w="1655"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对律师事务所的行政检查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81</w:t>
            </w:r>
          </w:p>
        </w:tc>
        <w:tc>
          <w:tcPr>
            <w:tcW w:w="1655"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对律师的行政检查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818" w:type="pct"/>
            <w:vAlign w:val="center"/>
          </w:tcPr>
          <w:p>
            <w:pPr>
              <w:spacing w:line="6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82</w:t>
            </w:r>
          </w:p>
        </w:tc>
        <w:tc>
          <w:tcPr>
            <w:tcW w:w="1655"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对律所及律师承办法律援助事项的行政检查</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83</w:t>
            </w:r>
          </w:p>
        </w:tc>
        <w:tc>
          <w:tcPr>
            <w:tcW w:w="1655" w:type="pct"/>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对经营性人力资源服务机构设立分支机构、办理变更或注销登记情况的行政检查</w:t>
            </w:r>
          </w:p>
        </w:tc>
        <w:tc>
          <w:tcPr>
            <w:tcW w:w="1234" w:type="pct"/>
            <w:vMerge w:val="restart"/>
            <w:vAlign w:val="top"/>
          </w:tcPr>
          <w:p>
            <w:pPr>
              <w:spacing w:line="380" w:lineRule="exact"/>
              <w:jc w:val="center"/>
              <w:rPr>
                <w:rFonts w:hint="eastAsia" w:ascii="仿宋" w:hAnsi="仿宋" w:eastAsia="仿宋" w:cs="仿宋"/>
                <w:sz w:val="24"/>
                <w:szCs w:val="24"/>
              </w:rPr>
            </w:pPr>
          </w:p>
          <w:p>
            <w:pPr>
              <w:spacing w:line="380" w:lineRule="exact"/>
              <w:jc w:val="center"/>
              <w:rPr>
                <w:rFonts w:hint="eastAsia" w:ascii="仿宋" w:hAnsi="仿宋" w:eastAsia="仿宋" w:cs="仿宋"/>
                <w:sz w:val="24"/>
                <w:szCs w:val="24"/>
              </w:rPr>
            </w:pPr>
          </w:p>
          <w:p>
            <w:pPr>
              <w:spacing w:line="380" w:lineRule="exact"/>
              <w:jc w:val="center"/>
              <w:rPr>
                <w:rFonts w:hint="eastAsia" w:ascii="仿宋" w:hAnsi="仿宋" w:eastAsia="仿宋" w:cs="仿宋"/>
                <w:sz w:val="24"/>
                <w:szCs w:val="24"/>
              </w:rPr>
            </w:pPr>
          </w:p>
          <w:p>
            <w:pPr>
              <w:spacing w:line="380" w:lineRule="exact"/>
              <w:jc w:val="center"/>
              <w:rPr>
                <w:rFonts w:hint="eastAsia" w:ascii="仿宋" w:hAnsi="仿宋" w:eastAsia="仿宋" w:cs="仿宋"/>
                <w:sz w:val="24"/>
                <w:szCs w:val="24"/>
              </w:rPr>
            </w:pPr>
          </w:p>
          <w:p>
            <w:pPr>
              <w:spacing w:line="380" w:lineRule="exact"/>
              <w:jc w:val="center"/>
              <w:rPr>
                <w:rFonts w:hint="eastAsia" w:ascii="仿宋" w:hAnsi="仿宋" w:eastAsia="仿宋" w:cs="仿宋"/>
                <w:sz w:val="24"/>
                <w:szCs w:val="24"/>
                <w:lang w:eastAsia="zh-CN"/>
              </w:rPr>
            </w:pPr>
          </w:p>
          <w:p>
            <w:pPr>
              <w:spacing w:line="380" w:lineRule="exact"/>
              <w:jc w:val="center"/>
              <w:rPr>
                <w:rFonts w:hint="eastAsia" w:ascii="仿宋" w:hAnsi="仿宋" w:eastAsia="仿宋" w:cs="仿宋"/>
                <w:sz w:val="24"/>
                <w:szCs w:val="24"/>
                <w:lang w:eastAsia="zh-CN"/>
              </w:rPr>
            </w:pPr>
          </w:p>
          <w:p>
            <w:pPr>
              <w:spacing w:line="380" w:lineRule="exact"/>
              <w:jc w:val="center"/>
              <w:rPr>
                <w:rFonts w:hint="eastAsia" w:ascii="仿宋" w:hAnsi="仿宋" w:eastAsia="仿宋" w:cs="仿宋"/>
                <w:sz w:val="24"/>
                <w:szCs w:val="24"/>
                <w:lang w:eastAsia="zh-CN"/>
              </w:rPr>
            </w:pPr>
          </w:p>
          <w:p>
            <w:pPr>
              <w:spacing w:line="380" w:lineRule="exact"/>
              <w:jc w:val="center"/>
              <w:rPr>
                <w:rFonts w:hint="eastAsia" w:ascii="仿宋" w:hAnsi="仿宋" w:eastAsia="仿宋" w:cs="仿宋"/>
                <w:sz w:val="24"/>
                <w:szCs w:val="24"/>
                <w:lang w:eastAsia="zh-CN"/>
              </w:rPr>
            </w:pPr>
          </w:p>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浔阳</w:t>
            </w:r>
            <w:r>
              <w:rPr>
                <w:rFonts w:hint="eastAsia" w:ascii="仿宋" w:hAnsi="仿宋" w:eastAsia="仿宋" w:cs="仿宋"/>
                <w:sz w:val="24"/>
                <w:szCs w:val="24"/>
              </w:rPr>
              <w:t>区人社局</w:t>
            </w:r>
          </w:p>
        </w:tc>
        <w:tc>
          <w:tcPr>
            <w:tcW w:w="833" w:type="pct"/>
            <w:vAlign w:val="center"/>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20%</w:t>
            </w:r>
          </w:p>
        </w:tc>
        <w:tc>
          <w:tcPr>
            <w:tcW w:w="818" w:type="pct"/>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84</w:t>
            </w:r>
          </w:p>
        </w:tc>
        <w:tc>
          <w:tcPr>
            <w:tcW w:w="1655" w:type="pct"/>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对经营性人力资源服务机构从事特定业务的行政检查</w:t>
            </w:r>
          </w:p>
        </w:tc>
        <w:tc>
          <w:tcPr>
            <w:tcW w:w="1234" w:type="pct"/>
            <w:vMerge w:val="continue"/>
            <w:vAlign w:val="top"/>
          </w:tcPr>
          <w:p>
            <w:pPr>
              <w:spacing w:line="38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20%</w:t>
            </w:r>
          </w:p>
        </w:tc>
        <w:tc>
          <w:tcPr>
            <w:tcW w:w="818" w:type="pct"/>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85</w:t>
            </w:r>
          </w:p>
        </w:tc>
        <w:tc>
          <w:tcPr>
            <w:tcW w:w="1655" w:type="pct"/>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对人力资源服务机构从事职业中介活动的行政检查</w:t>
            </w:r>
          </w:p>
        </w:tc>
        <w:tc>
          <w:tcPr>
            <w:tcW w:w="1234" w:type="pct"/>
            <w:vMerge w:val="continue"/>
            <w:vAlign w:val="top"/>
          </w:tcPr>
          <w:p>
            <w:pPr>
              <w:spacing w:line="38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20%</w:t>
            </w:r>
          </w:p>
        </w:tc>
        <w:tc>
          <w:tcPr>
            <w:tcW w:w="818" w:type="pct"/>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86</w:t>
            </w:r>
          </w:p>
        </w:tc>
        <w:tc>
          <w:tcPr>
            <w:tcW w:w="1655" w:type="pct"/>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对民办职业培训学校（项目）设立、分立、合并、变更及终止违规行为的行政检查</w:t>
            </w:r>
          </w:p>
        </w:tc>
        <w:tc>
          <w:tcPr>
            <w:tcW w:w="1234" w:type="pct"/>
            <w:vMerge w:val="continue"/>
            <w:vAlign w:val="top"/>
          </w:tcPr>
          <w:p>
            <w:pPr>
              <w:spacing w:line="38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30%</w:t>
            </w:r>
          </w:p>
        </w:tc>
        <w:tc>
          <w:tcPr>
            <w:tcW w:w="818" w:type="pct"/>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87</w:t>
            </w:r>
          </w:p>
        </w:tc>
        <w:tc>
          <w:tcPr>
            <w:tcW w:w="1655" w:type="pct"/>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对企业实行不定时作工时制和综合计算工作制情况的行政检查</w:t>
            </w:r>
          </w:p>
        </w:tc>
        <w:tc>
          <w:tcPr>
            <w:tcW w:w="1234" w:type="pct"/>
            <w:vMerge w:val="continue"/>
            <w:vAlign w:val="top"/>
          </w:tcPr>
          <w:p>
            <w:pPr>
              <w:spacing w:line="38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20%</w:t>
            </w:r>
          </w:p>
        </w:tc>
        <w:tc>
          <w:tcPr>
            <w:tcW w:w="818" w:type="pct"/>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810" w:type="dxa"/>
            <w:vAlign w:val="top"/>
          </w:tcPr>
          <w:p>
            <w:pPr>
              <w:spacing w:line="3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88</w:t>
            </w:r>
          </w:p>
        </w:tc>
        <w:tc>
          <w:tcPr>
            <w:tcW w:w="1655"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对纳税人的增值税专用发票最高开票限额许可事项</w:t>
            </w:r>
          </w:p>
        </w:tc>
        <w:tc>
          <w:tcPr>
            <w:tcW w:w="1234" w:type="pct"/>
            <w:vMerge w:val="restar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浔阳区税务局</w:t>
            </w: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0" w:type="dxa"/>
            <w:vAlign w:val="center"/>
          </w:tcPr>
          <w:p>
            <w:pPr>
              <w:spacing w:line="640" w:lineRule="exact"/>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89</w:t>
            </w:r>
          </w:p>
        </w:tc>
        <w:tc>
          <w:tcPr>
            <w:tcW w:w="1655"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对个体工商户的纳税定额变更许可事项</w:t>
            </w:r>
          </w:p>
        </w:tc>
        <w:tc>
          <w:tcPr>
            <w:tcW w:w="1234" w:type="pct"/>
            <w:vMerge w:val="continue"/>
            <w:vAlign w:val="center"/>
          </w:tcPr>
          <w:p>
            <w:pPr>
              <w:spacing w:line="640" w:lineRule="exact"/>
              <w:jc w:val="center"/>
              <w:rPr>
                <w:rFonts w:hint="eastAsia" w:ascii="仿宋" w:hAnsi="仿宋" w:eastAsia="仿宋" w:cs="仿宋"/>
                <w:kern w:val="2"/>
                <w:sz w:val="24"/>
                <w:szCs w:val="24"/>
                <w:lang w:val="en-US" w:eastAsia="zh-CN" w:bidi="ar-SA"/>
              </w:rPr>
            </w:pPr>
          </w:p>
        </w:tc>
        <w:tc>
          <w:tcPr>
            <w:tcW w:w="833"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818" w:type="pct"/>
            <w:vAlign w:val="center"/>
          </w:tcPr>
          <w:p>
            <w:pPr>
              <w:spacing w:line="6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1次/年</w:t>
            </w:r>
          </w:p>
        </w:tc>
      </w:tr>
    </w:tbl>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77F3C"/>
    <w:rsid w:val="5DF7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2021-03-31T03:27:00Z</dcterms:created>
  <dc:creator>崔晨芳</dc:creator>
  <cp:lastModifiedBy>崔晨芳</cp:lastModifiedBy>
  <dcterms:modified xsi:type="dcterms:W3CDTF">2021-03-31T03:28:27Z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