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6657A">
      <w:pPr>
        <w:widowControl/>
        <w:spacing w:line="560" w:lineRule="exact"/>
        <w:jc w:val="left"/>
        <w:rPr>
          <w:rFonts w:ascii="黑体" w:hAnsi="黑体" w:eastAsia="黑体"/>
        </w:rPr>
      </w:pPr>
    </w:p>
    <w:p w14:paraId="11412900">
      <w:pPr>
        <w:widowControl/>
        <w:spacing w:line="560" w:lineRule="exact"/>
        <w:ind w:firstLine="420"/>
        <w:jc w:val="center"/>
        <w:rPr>
          <w:rFonts w:hint="eastAsia" w:ascii="方正小标宋简体" w:hAnsi="黑体" w:eastAsia="方正小标宋简体"/>
          <w:sz w:val="44"/>
          <w:szCs w:val="44"/>
        </w:rPr>
      </w:pPr>
      <w:r>
        <w:rPr>
          <w:rFonts w:hint="eastAsia" w:ascii="方正小标宋简体" w:hAnsi="黑体" w:eastAsia="方正小标宋简体"/>
          <w:color w:val="000000"/>
          <w:kern w:val="0"/>
          <w:sz w:val="44"/>
          <w:szCs w:val="44"/>
        </w:rPr>
        <w:fldChar w:fldCharType="begin"/>
      </w:r>
      <w:r>
        <w:rPr>
          <w:rFonts w:hint="eastAsia" w:ascii="方正小标宋简体" w:hAnsi="黑体" w:eastAsia="方正小标宋简体"/>
          <w:color w:val="000000"/>
          <w:kern w:val="0"/>
          <w:sz w:val="44"/>
          <w:szCs w:val="44"/>
        </w:rPr>
        <w:instrText xml:space="preserve">MERGEFIELD ${page540426799.ds254512694_REP_JXJC_AGENCY_WZR_NAME}</w:instrText>
      </w:r>
      <w:r>
        <w:rPr>
          <w:rFonts w:hint="eastAsia" w:ascii="方正小标宋简体" w:hAnsi="黑体" w:eastAsia="方正小标宋简体"/>
          <w:color w:val="000000"/>
          <w:kern w:val="0"/>
          <w:sz w:val="44"/>
          <w:szCs w:val="44"/>
        </w:rPr>
        <w:fldChar w:fldCharType="separate"/>
      </w:r>
      <w:r>
        <w:rPr>
          <w:rFonts w:hint="eastAsia" w:ascii="方正小标宋简体" w:hAnsi="黑体" w:eastAsia="方正小标宋简体"/>
          <w:color w:val="000000"/>
          <w:kern w:val="0"/>
          <w:sz w:val="44"/>
          <w:szCs w:val="44"/>
        </w:rPr>
        <w:t>九江市自然资源局浔阳区分局</w:t>
      </w:r>
      <w:r>
        <w:rPr>
          <w:rFonts w:hint="eastAsia" w:ascii="方正小标宋简体" w:hAnsi="黑体" w:eastAsia="方正小标宋简体"/>
          <w:sz w:val="44"/>
          <w:szCs w:val="44"/>
        </w:rPr>
        <w:fldChar w:fldCharType="end"/>
      </w:r>
    </w:p>
    <w:p w14:paraId="4E5FF9BD">
      <w:pPr>
        <w:widowControl/>
        <w:spacing w:line="560" w:lineRule="exact"/>
        <w:ind w:firstLine="420"/>
        <w:jc w:val="center"/>
        <w:rPr>
          <w:rFonts w:ascii="方正小标宋简体" w:hAnsi="黑体" w:eastAsia="方正小标宋简体"/>
          <w:color w:val="000000"/>
          <w:kern w:val="0"/>
          <w:sz w:val="44"/>
          <w:szCs w:val="44"/>
        </w:rPr>
      </w:pPr>
      <w:r>
        <w:rPr>
          <w:rFonts w:hint="eastAsia" w:ascii="方正小标宋简体" w:hAnsi="黑体" w:eastAsia="方正小标宋简体"/>
          <w:color w:val="000000"/>
          <w:kern w:val="0"/>
          <w:sz w:val="44"/>
          <w:szCs w:val="44"/>
        </w:rPr>
        <w:t>2025年单位预算</w:t>
      </w:r>
    </w:p>
    <w:p w14:paraId="12FA7000">
      <w:pPr>
        <w:pStyle w:val="11"/>
        <w:spacing w:line="560" w:lineRule="exact"/>
        <w:jc w:val="center"/>
        <w:rPr>
          <w:rFonts w:ascii="黑体" w:hAnsi="黑体" w:eastAsia="黑体"/>
          <w:color w:val="000000"/>
          <w:szCs w:val="32"/>
        </w:rPr>
      </w:pPr>
    </w:p>
    <w:p w14:paraId="3CA23095">
      <w:pPr>
        <w:pStyle w:val="11"/>
        <w:spacing w:line="560" w:lineRule="exact"/>
        <w:jc w:val="center"/>
        <w:rPr>
          <w:rFonts w:ascii="黑体" w:hAnsi="黑体" w:eastAsia="黑体"/>
          <w:color w:val="000000"/>
          <w:szCs w:val="32"/>
        </w:rPr>
      </w:pPr>
      <w:r>
        <w:rPr>
          <w:rFonts w:hint="eastAsia" w:ascii="黑体" w:hAnsi="黑体" w:eastAsia="黑体"/>
          <w:color w:val="000000"/>
          <w:szCs w:val="32"/>
        </w:rPr>
        <w:t>目    录</w:t>
      </w:r>
    </w:p>
    <w:p w14:paraId="3BEC6E5B">
      <w:pPr>
        <w:pStyle w:val="11"/>
        <w:spacing w:line="560" w:lineRule="exact"/>
        <w:rPr>
          <w:rFonts w:ascii="宋体" w:hAnsi="宋体"/>
          <w:color w:val="000000"/>
        </w:rPr>
      </w:pPr>
    </w:p>
    <w:p w14:paraId="182A60FB">
      <w:pPr>
        <w:pStyle w:val="11"/>
        <w:tabs>
          <w:tab w:val="right" w:pos="8306"/>
        </w:tabs>
        <w:spacing w:line="560" w:lineRule="exact"/>
        <w:ind w:firstLine="640" w:firstLineChars="200"/>
        <w:jc w:val="left"/>
        <w:rPr>
          <w:rFonts w:ascii="黑体" w:hAnsi="黑体" w:eastAsia="黑体"/>
          <w:bCs/>
          <w:color w:val="000000"/>
          <w:szCs w:val="32"/>
        </w:rPr>
      </w:pPr>
      <w:r>
        <w:rPr>
          <w:rFonts w:hint="eastAsia" w:ascii="黑体" w:hAnsi="黑体" w:eastAsia="黑体"/>
          <w:bCs/>
          <w:color w:val="000000"/>
          <w:szCs w:val="32"/>
        </w:rPr>
        <w:t xml:space="preserve">第一部分  </w:t>
      </w:r>
      <w:r>
        <w:rPr>
          <w:rFonts w:ascii="黑体" w:hAnsi="黑体" w:eastAsia="黑体"/>
          <w:bCs/>
          <w:color w:val="000000"/>
          <w:szCs w:val="32"/>
        </w:rPr>
        <w:fldChar w:fldCharType="begin"/>
      </w:r>
      <w:r>
        <w:rPr>
          <w:rFonts w:ascii="黑体" w:hAnsi="黑体" w:eastAsia="黑体"/>
          <w:bCs/>
          <w:color w:val="000000"/>
          <w:szCs w:val="32"/>
        </w:rPr>
        <w:instrText xml:space="preserve">MERGEFIELD ${page540426799.ds254512694_REP_JXJC_AGENCY_WZR_NAME}</w:instrText>
      </w:r>
      <w:r>
        <w:rPr>
          <w:rFonts w:ascii="黑体" w:hAnsi="黑体" w:eastAsia="黑体"/>
          <w:bCs/>
          <w:color w:val="000000"/>
          <w:szCs w:val="32"/>
        </w:rPr>
        <w:fldChar w:fldCharType="separate"/>
      </w:r>
      <w:r>
        <w:rPr>
          <w:rFonts w:ascii="黑体" w:hAnsi="黑体" w:eastAsia="黑体"/>
          <w:bCs/>
          <w:color w:val="000000"/>
          <w:szCs w:val="32"/>
        </w:rPr>
        <w:t>九江市</w:t>
      </w:r>
      <w:r>
        <w:rPr>
          <w:rFonts w:hint="eastAsia" w:ascii="黑体" w:hAnsi="黑体" w:eastAsia="黑体"/>
          <w:bCs/>
          <w:color w:val="000000"/>
          <w:szCs w:val="32"/>
        </w:rPr>
        <w:t>自然资源局浔阳区分</w:t>
      </w:r>
      <w:r>
        <w:rPr>
          <w:rFonts w:ascii="黑体" w:hAnsi="黑体" w:eastAsia="黑体"/>
          <w:bCs/>
          <w:color w:val="000000"/>
          <w:szCs w:val="32"/>
        </w:rPr>
        <w:t>局</w:t>
      </w:r>
      <w:r>
        <w:rPr>
          <w:rFonts w:ascii="黑体" w:hAnsi="黑体" w:eastAsia="黑体"/>
          <w:szCs w:val="32"/>
        </w:rPr>
        <w:fldChar w:fldCharType="end"/>
      </w:r>
      <w:r>
        <w:rPr>
          <w:rFonts w:hint="eastAsia" w:ascii="黑体" w:hAnsi="黑体" w:eastAsia="黑体"/>
          <w:bCs/>
          <w:color w:val="000000"/>
          <w:szCs w:val="32"/>
        </w:rPr>
        <w:t>概况</w:t>
      </w:r>
      <w:r>
        <w:rPr>
          <w:rFonts w:ascii="黑体" w:hAnsi="黑体" w:eastAsia="黑体"/>
          <w:bCs/>
          <w:color w:val="000000"/>
          <w:szCs w:val="32"/>
        </w:rPr>
        <w:tab/>
      </w:r>
    </w:p>
    <w:p w14:paraId="1AD33A56">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一、</w:t>
      </w:r>
      <w:r>
        <w:rPr>
          <w:rFonts w:hint="eastAsia" w:ascii="仿宋" w:hAnsi="仿宋" w:eastAsia="仿宋"/>
          <w:kern w:val="2"/>
          <w:szCs w:val="32"/>
        </w:rPr>
        <w:t>单位</w:t>
      </w:r>
      <w:r>
        <w:rPr>
          <w:rFonts w:ascii="仿宋" w:hAnsi="仿宋" w:eastAsia="仿宋"/>
          <w:kern w:val="2"/>
          <w:szCs w:val="32"/>
        </w:rPr>
        <w:t>主要职责</w:t>
      </w:r>
    </w:p>
    <w:p w14:paraId="1484B333">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二、</w:t>
      </w:r>
      <w:r>
        <w:rPr>
          <w:rFonts w:hint="eastAsia" w:ascii="仿宋" w:hAnsi="仿宋" w:eastAsia="仿宋"/>
          <w:kern w:val="2"/>
          <w:szCs w:val="32"/>
        </w:rPr>
        <w:t>机构设置及人员情况</w:t>
      </w:r>
    </w:p>
    <w:p w14:paraId="7B4FBB1C">
      <w:pPr>
        <w:pStyle w:val="11"/>
        <w:tabs>
          <w:tab w:val="right" w:pos="8306"/>
        </w:tabs>
        <w:spacing w:line="560" w:lineRule="exact"/>
        <w:ind w:firstLine="640" w:firstLineChars="200"/>
        <w:jc w:val="left"/>
        <w:rPr>
          <w:rFonts w:ascii="黑体" w:hAnsi="黑体" w:eastAsia="黑体"/>
          <w:bCs/>
          <w:color w:val="000000"/>
          <w:szCs w:val="32"/>
        </w:rPr>
      </w:pPr>
      <w:r>
        <w:rPr>
          <w:rFonts w:hint="eastAsia" w:ascii="黑体" w:hAnsi="黑体" w:eastAsia="黑体"/>
          <w:bCs/>
          <w:color w:val="000000"/>
          <w:szCs w:val="32"/>
        </w:rPr>
        <w:t xml:space="preserve">第二部分  </w:t>
      </w:r>
      <w:r>
        <w:rPr>
          <w:rFonts w:ascii="黑体" w:hAnsi="黑体" w:eastAsia="黑体"/>
          <w:bCs/>
          <w:color w:val="000000"/>
          <w:szCs w:val="32"/>
        </w:rPr>
        <w:fldChar w:fldCharType="begin"/>
      </w:r>
      <w:r>
        <w:rPr>
          <w:rFonts w:ascii="黑体" w:hAnsi="黑体" w:eastAsia="黑体"/>
          <w:bCs/>
          <w:color w:val="000000"/>
          <w:szCs w:val="32"/>
        </w:rPr>
        <w:instrText xml:space="preserve">MERGEFIELD ${page540426799.ds254512694_REP_JXJC_AGENCY_WZR_NAME}</w:instrText>
      </w:r>
      <w:r>
        <w:rPr>
          <w:rFonts w:ascii="黑体" w:hAnsi="黑体" w:eastAsia="黑体"/>
          <w:bCs/>
          <w:color w:val="000000"/>
          <w:szCs w:val="32"/>
        </w:rPr>
        <w:fldChar w:fldCharType="separate"/>
      </w:r>
      <w:r>
        <w:rPr>
          <w:rFonts w:ascii="黑体" w:hAnsi="黑体" w:eastAsia="黑体"/>
          <w:bCs/>
          <w:color w:val="000000"/>
          <w:szCs w:val="32"/>
        </w:rPr>
        <w:t>九江市</w:t>
      </w:r>
      <w:r>
        <w:rPr>
          <w:rFonts w:hint="eastAsia" w:ascii="黑体" w:hAnsi="黑体" w:eastAsia="黑体"/>
          <w:bCs/>
          <w:color w:val="000000"/>
          <w:szCs w:val="32"/>
        </w:rPr>
        <w:t>自然资源局浔阳区分</w:t>
      </w:r>
      <w:r>
        <w:rPr>
          <w:rFonts w:ascii="黑体" w:hAnsi="黑体" w:eastAsia="黑体"/>
          <w:bCs/>
          <w:color w:val="000000"/>
          <w:szCs w:val="32"/>
        </w:rPr>
        <w:t>局</w:t>
      </w:r>
      <w:r>
        <w:rPr>
          <w:rFonts w:ascii="黑体" w:hAnsi="黑体" w:eastAsia="黑体"/>
          <w:bCs/>
          <w:color w:val="000000"/>
          <w:szCs w:val="32"/>
        </w:rPr>
        <w:fldChar w:fldCharType="end"/>
      </w:r>
      <w:r>
        <w:rPr>
          <w:rFonts w:hint="eastAsia" w:ascii="黑体" w:hAnsi="黑体" w:eastAsia="黑体"/>
          <w:bCs/>
          <w:color w:val="000000"/>
          <w:szCs w:val="32"/>
        </w:rPr>
        <w:t>2025年单位预算表</w:t>
      </w:r>
    </w:p>
    <w:p w14:paraId="64E17A36">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一、《收支预算总表》</w:t>
      </w:r>
    </w:p>
    <w:p w14:paraId="03EF5F04">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二、《</w:t>
      </w:r>
      <w:r>
        <w:rPr>
          <w:rFonts w:hint="eastAsia" w:ascii="仿宋" w:hAnsi="仿宋" w:eastAsia="仿宋"/>
          <w:kern w:val="2"/>
          <w:szCs w:val="32"/>
        </w:rPr>
        <w:t>单位</w:t>
      </w:r>
      <w:r>
        <w:rPr>
          <w:rFonts w:ascii="仿宋" w:hAnsi="仿宋" w:eastAsia="仿宋"/>
          <w:kern w:val="2"/>
          <w:szCs w:val="32"/>
        </w:rPr>
        <w:t>收入总表》</w:t>
      </w:r>
    </w:p>
    <w:p w14:paraId="0974BDD9">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三、《</w:t>
      </w:r>
      <w:r>
        <w:rPr>
          <w:rFonts w:hint="eastAsia" w:ascii="仿宋" w:hAnsi="仿宋" w:eastAsia="仿宋"/>
          <w:kern w:val="2"/>
          <w:szCs w:val="32"/>
        </w:rPr>
        <w:t>单位</w:t>
      </w:r>
      <w:r>
        <w:rPr>
          <w:rFonts w:ascii="仿宋" w:hAnsi="仿宋" w:eastAsia="仿宋"/>
          <w:kern w:val="2"/>
          <w:szCs w:val="32"/>
        </w:rPr>
        <w:t>支出总表》</w:t>
      </w:r>
    </w:p>
    <w:p w14:paraId="018066C1">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四、《财政拨款收支总表》</w:t>
      </w:r>
    </w:p>
    <w:p w14:paraId="67ABF9CF">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五、《一般公共预算支出表》</w:t>
      </w:r>
    </w:p>
    <w:p w14:paraId="2EA512D6">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六、《一般公共预算基本支出表》</w:t>
      </w:r>
    </w:p>
    <w:p w14:paraId="5312D226">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七、《财政拨款“三公”经费支出表》</w:t>
      </w:r>
    </w:p>
    <w:p w14:paraId="0FE1D8AE">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八、《政府性基金预算支出表》</w:t>
      </w:r>
    </w:p>
    <w:p w14:paraId="7EC7B22E">
      <w:pPr>
        <w:pStyle w:val="11"/>
        <w:tabs>
          <w:tab w:val="left" w:pos="6546"/>
        </w:tabs>
        <w:spacing w:line="560" w:lineRule="exact"/>
        <w:ind w:firstLine="640" w:firstLineChars="200"/>
        <w:jc w:val="left"/>
        <w:rPr>
          <w:rFonts w:ascii="仿宋" w:hAnsi="仿宋" w:eastAsia="仿宋"/>
          <w:kern w:val="2"/>
          <w:szCs w:val="32"/>
        </w:rPr>
      </w:pPr>
      <w:r>
        <w:rPr>
          <w:rFonts w:ascii="仿宋" w:hAnsi="仿宋" w:eastAsia="仿宋"/>
          <w:kern w:val="2"/>
          <w:szCs w:val="32"/>
        </w:rPr>
        <w:t>九、《</w:t>
      </w:r>
      <w:r>
        <w:rPr>
          <w:rFonts w:hint="eastAsia" w:ascii="仿宋" w:hAnsi="仿宋" w:eastAsia="仿宋"/>
          <w:kern w:val="2"/>
          <w:szCs w:val="32"/>
        </w:rPr>
        <w:t>国有资本经营</w:t>
      </w:r>
      <w:r>
        <w:rPr>
          <w:rFonts w:ascii="仿宋" w:hAnsi="仿宋" w:eastAsia="仿宋"/>
          <w:kern w:val="2"/>
          <w:szCs w:val="32"/>
        </w:rPr>
        <w:t>预算支出表》</w:t>
      </w:r>
      <w:r>
        <w:rPr>
          <w:rFonts w:hint="eastAsia" w:ascii="仿宋" w:hAnsi="仿宋" w:eastAsia="仿宋"/>
          <w:kern w:val="2"/>
          <w:szCs w:val="32"/>
        </w:rPr>
        <w:tab/>
      </w:r>
    </w:p>
    <w:p w14:paraId="5145D538">
      <w:pPr>
        <w:pStyle w:val="11"/>
        <w:tabs>
          <w:tab w:val="left" w:pos="6546"/>
        </w:tabs>
        <w:spacing w:line="560" w:lineRule="exact"/>
        <w:ind w:firstLine="640" w:firstLineChars="200"/>
        <w:jc w:val="left"/>
        <w:rPr>
          <w:rFonts w:ascii="仿宋" w:hAnsi="仿宋" w:eastAsia="仿宋"/>
          <w:kern w:val="2"/>
          <w:szCs w:val="32"/>
        </w:rPr>
      </w:pPr>
      <w:r>
        <w:rPr>
          <w:rFonts w:hint="eastAsia" w:ascii="仿宋" w:hAnsi="仿宋" w:eastAsia="仿宋"/>
          <w:kern w:val="2"/>
          <w:szCs w:val="32"/>
        </w:rPr>
        <w:t>十、</w:t>
      </w:r>
      <w:r>
        <w:rPr>
          <w:rFonts w:ascii="仿宋" w:hAnsi="仿宋" w:eastAsia="仿宋"/>
          <w:kern w:val="2"/>
          <w:szCs w:val="32"/>
        </w:rPr>
        <w:t>《</w:t>
      </w:r>
      <w:r>
        <w:rPr>
          <w:rFonts w:hint="eastAsia" w:ascii="仿宋" w:hAnsi="仿宋" w:eastAsia="仿宋"/>
          <w:kern w:val="2"/>
          <w:szCs w:val="32"/>
        </w:rPr>
        <w:t>项目支出绩效目标表</w:t>
      </w:r>
      <w:r>
        <w:rPr>
          <w:rFonts w:ascii="仿宋" w:hAnsi="仿宋" w:eastAsia="仿宋"/>
          <w:kern w:val="2"/>
          <w:szCs w:val="32"/>
        </w:rPr>
        <w:t>》</w:t>
      </w:r>
    </w:p>
    <w:p w14:paraId="29C38DAD">
      <w:pPr>
        <w:pStyle w:val="11"/>
        <w:tabs>
          <w:tab w:val="right" w:pos="8306"/>
        </w:tabs>
        <w:spacing w:line="560" w:lineRule="exact"/>
        <w:ind w:firstLine="640" w:firstLineChars="200"/>
        <w:jc w:val="left"/>
        <w:rPr>
          <w:rFonts w:ascii="黑体" w:hAnsi="黑体" w:eastAsia="黑体"/>
          <w:bCs/>
          <w:color w:val="000000"/>
          <w:szCs w:val="32"/>
        </w:rPr>
      </w:pPr>
      <w:r>
        <w:rPr>
          <w:rFonts w:hint="eastAsia" w:ascii="黑体" w:hAnsi="黑体" w:eastAsia="黑体"/>
          <w:bCs/>
          <w:color w:val="000000"/>
          <w:szCs w:val="32"/>
        </w:rPr>
        <w:t xml:space="preserve">第三部分 </w:t>
      </w:r>
      <w:r>
        <w:rPr>
          <w:rFonts w:ascii="黑体" w:hAnsi="黑体" w:eastAsia="黑体"/>
          <w:bCs/>
          <w:color w:val="000000"/>
          <w:szCs w:val="32"/>
        </w:rPr>
        <w:fldChar w:fldCharType="begin"/>
      </w:r>
      <w:r>
        <w:rPr>
          <w:rFonts w:ascii="黑体" w:hAnsi="黑体" w:eastAsia="黑体"/>
          <w:bCs/>
          <w:color w:val="000000"/>
          <w:szCs w:val="32"/>
        </w:rPr>
        <w:instrText xml:space="preserve">MERGEFIELD ${page540426799.ds254512694_REP_JXJC_AGENCY_WZR_NAME}</w:instrText>
      </w:r>
      <w:r>
        <w:rPr>
          <w:rFonts w:ascii="黑体" w:hAnsi="黑体" w:eastAsia="黑体"/>
          <w:bCs/>
          <w:color w:val="000000"/>
          <w:szCs w:val="32"/>
        </w:rPr>
        <w:fldChar w:fldCharType="separate"/>
      </w:r>
      <w:r>
        <w:rPr>
          <w:rFonts w:ascii="黑体" w:hAnsi="黑体" w:eastAsia="黑体"/>
          <w:bCs/>
          <w:color w:val="000000"/>
          <w:szCs w:val="32"/>
        </w:rPr>
        <w:t>九江市</w:t>
      </w:r>
      <w:r>
        <w:rPr>
          <w:rFonts w:hint="eastAsia" w:ascii="黑体" w:hAnsi="黑体" w:eastAsia="黑体"/>
          <w:bCs/>
          <w:color w:val="000000"/>
          <w:szCs w:val="32"/>
        </w:rPr>
        <w:t>自然资源局浔阳区分</w:t>
      </w:r>
      <w:r>
        <w:rPr>
          <w:rFonts w:ascii="黑体" w:hAnsi="黑体" w:eastAsia="黑体"/>
          <w:bCs/>
          <w:color w:val="000000"/>
          <w:szCs w:val="32"/>
        </w:rPr>
        <w:t>局</w:t>
      </w:r>
      <w:r>
        <w:rPr>
          <w:rFonts w:ascii="黑体" w:hAnsi="黑体" w:eastAsia="黑体"/>
          <w:bCs/>
          <w:color w:val="000000"/>
          <w:szCs w:val="32"/>
        </w:rPr>
        <w:fldChar w:fldCharType="end"/>
      </w:r>
      <w:r>
        <w:rPr>
          <w:rFonts w:hint="eastAsia" w:ascii="黑体" w:hAnsi="黑体" w:eastAsia="黑体"/>
          <w:bCs/>
          <w:color w:val="000000"/>
          <w:szCs w:val="32"/>
        </w:rPr>
        <w:t>2025年单位预算情况说明</w:t>
      </w:r>
    </w:p>
    <w:p w14:paraId="162B1E92">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一、2025年</w:t>
      </w:r>
      <w:r>
        <w:rPr>
          <w:rFonts w:hint="eastAsia" w:ascii="仿宋" w:hAnsi="仿宋" w:eastAsia="仿宋"/>
          <w:kern w:val="2"/>
          <w:szCs w:val="32"/>
        </w:rPr>
        <w:t>单位</w:t>
      </w:r>
      <w:r>
        <w:rPr>
          <w:rFonts w:ascii="仿宋" w:hAnsi="仿宋" w:eastAsia="仿宋"/>
          <w:kern w:val="2"/>
          <w:szCs w:val="32"/>
        </w:rPr>
        <w:t>预算收支情况说明</w:t>
      </w:r>
    </w:p>
    <w:p w14:paraId="605C01EC">
      <w:pPr>
        <w:pStyle w:val="11"/>
        <w:spacing w:line="560" w:lineRule="exact"/>
        <w:ind w:firstLine="640" w:firstLineChars="200"/>
        <w:jc w:val="left"/>
        <w:rPr>
          <w:rFonts w:ascii="仿宋" w:hAnsi="仿宋" w:eastAsia="仿宋"/>
          <w:kern w:val="2"/>
          <w:szCs w:val="32"/>
        </w:rPr>
      </w:pPr>
      <w:r>
        <w:rPr>
          <w:rFonts w:ascii="仿宋" w:hAnsi="仿宋" w:eastAsia="仿宋"/>
          <w:kern w:val="2"/>
          <w:szCs w:val="32"/>
        </w:rPr>
        <w:t>二、2025年“三公”经费预算情况说明</w:t>
      </w:r>
    </w:p>
    <w:p w14:paraId="1BE86F70">
      <w:pPr>
        <w:pStyle w:val="11"/>
        <w:tabs>
          <w:tab w:val="right" w:pos="8306"/>
        </w:tabs>
        <w:spacing w:line="560" w:lineRule="exact"/>
        <w:ind w:firstLine="640" w:firstLineChars="200"/>
        <w:jc w:val="left"/>
        <w:rPr>
          <w:rFonts w:hint="eastAsia" w:ascii="黑体" w:hAnsi="黑体" w:eastAsia="黑体"/>
          <w:bCs/>
          <w:color w:val="000000"/>
          <w:szCs w:val="32"/>
        </w:rPr>
      </w:pPr>
      <w:r>
        <w:rPr>
          <w:rFonts w:hint="eastAsia" w:ascii="黑体" w:hAnsi="黑体" w:eastAsia="黑体"/>
          <w:bCs/>
          <w:color w:val="000000"/>
          <w:szCs w:val="32"/>
        </w:rPr>
        <w:t>第四部分  名词解释</w:t>
      </w:r>
    </w:p>
    <w:p w14:paraId="2CCCF05A">
      <w:pPr>
        <w:rPr>
          <w:rFonts w:ascii="黑体" w:hAnsi="黑体" w:eastAsia="黑体"/>
          <w:bCs/>
          <w:color w:val="000000"/>
          <w:szCs w:val="32"/>
        </w:rPr>
      </w:pPr>
      <w:r>
        <w:rPr>
          <w:rFonts w:hint="eastAsia" w:ascii="黑体" w:hAnsi="黑体" w:eastAsia="黑体"/>
          <w:bCs/>
          <w:color w:val="000000"/>
          <w:szCs w:val="32"/>
        </w:rPr>
        <w:br w:type="page"/>
      </w:r>
    </w:p>
    <w:p w14:paraId="76CFAA66">
      <w:pPr>
        <w:widowControl/>
        <w:spacing w:line="560" w:lineRule="exact"/>
        <w:jc w:val="center"/>
        <w:rPr>
          <w:rFonts w:ascii="黑体" w:hAnsi="黑体" w:eastAsia="黑体"/>
        </w:rPr>
      </w:pPr>
      <w:r>
        <w:rPr>
          <w:rFonts w:hint="eastAsia" w:ascii="黑体" w:hAnsi="黑体" w:eastAsia="黑体"/>
        </w:rPr>
        <w:t xml:space="preserve">第一部分  </w:t>
      </w:r>
      <w:r>
        <w:rPr>
          <w:rFonts w:ascii="黑体" w:hAnsi="黑体" w:eastAsia="黑体"/>
        </w:rPr>
        <w:fldChar w:fldCharType="begin"/>
      </w:r>
      <w:r>
        <w:rPr>
          <w:rFonts w:ascii="黑体" w:hAnsi="黑体" w:eastAsia="黑体"/>
        </w:rPr>
        <w:instrText xml:space="preserve">MERGEFIELD ${page540426799.ds254512694_REP_JXJC_AGENCY_WZR_NAME}</w:instrText>
      </w:r>
      <w:r>
        <w:rPr>
          <w:rFonts w:ascii="黑体" w:hAnsi="黑体" w:eastAsia="黑体"/>
        </w:rPr>
        <w:fldChar w:fldCharType="separate"/>
      </w:r>
      <w:r>
        <w:rPr>
          <w:rFonts w:ascii="黑体" w:hAnsi="黑体" w:eastAsia="黑体"/>
        </w:rPr>
        <w:t>九江市</w:t>
      </w:r>
      <w:r>
        <w:rPr>
          <w:rFonts w:hint="eastAsia" w:ascii="黑体" w:hAnsi="黑体" w:eastAsia="黑体"/>
        </w:rPr>
        <w:t>自然资源局浔阳区分</w:t>
      </w:r>
      <w:r>
        <w:rPr>
          <w:rFonts w:ascii="黑体" w:hAnsi="黑体" w:eastAsia="黑体"/>
        </w:rPr>
        <w:t>局</w:t>
      </w:r>
      <w:r>
        <w:rPr>
          <w:rFonts w:ascii="黑体" w:hAnsi="黑体" w:eastAsia="黑体"/>
        </w:rPr>
        <w:fldChar w:fldCharType="end"/>
      </w:r>
      <w:r>
        <w:rPr>
          <w:rFonts w:hint="eastAsia" w:ascii="黑体" w:hAnsi="黑体" w:eastAsia="黑体"/>
        </w:rPr>
        <w:t>概况</w:t>
      </w:r>
    </w:p>
    <w:p w14:paraId="655396EE">
      <w:pPr>
        <w:widowControl/>
        <w:spacing w:line="560" w:lineRule="exact"/>
        <w:jc w:val="left"/>
        <w:rPr>
          <w:rFonts w:ascii="宋体" w:hAnsi="宋体"/>
          <w:b/>
          <w:sz w:val="36"/>
          <w:szCs w:val="36"/>
        </w:rPr>
      </w:pPr>
    </w:p>
    <w:p w14:paraId="01E09319">
      <w:pPr>
        <w:widowControl/>
        <w:spacing w:line="560" w:lineRule="exact"/>
        <w:ind w:firstLine="640" w:firstLineChars="200"/>
        <w:jc w:val="left"/>
        <w:rPr>
          <w:rFonts w:ascii="黑体" w:hAnsi="黑体" w:eastAsia="黑体"/>
        </w:rPr>
      </w:pPr>
      <w:r>
        <w:rPr>
          <w:rFonts w:hint="eastAsia" w:ascii="黑体" w:hAnsi="黑体" w:eastAsia="黑体"/>
        </w:rPr>
        <w:t>一、单位主要职责</w:t>
      </w:r>
    </w:p>
    <w:p w14:paraId="232D5D15">
      <w:pPr>
        <w:widowControl/>
        <w:spacing w:line="560" w:lineRule="exact"/>
        <w:ind w:firstLine="640" w:firstLineChars="200"/>
        <w:jc w:val="left"/>
        <w:rPr>
          <w:rFonts w:hint="eastAsia" w:ascii="仿宋" w:hAnsi="仿宋" w:eastAsia="仿宋"/>
        </w:rPr>
      </w:pPr>
      <w:r>
        <w:rPr>
          <w:rFonts w:hint="eastAsia" w:ascii="仿宋" w:hAnsi="仿宋" w:eastAsia="仿宋"/>
        </w:rPr>
        <w:t>（一）履行全民所有土地、矿产、森林、草地、湿地、水等自然资源资产所有者职责和所有国土空间用途管制职责。贯彻执行国家自然资源和国土空间规划及测绘等法律法规，拟订自然资源和测绘等规范性文件，制定相关管理制度并监督执行。</w:t>
      </w:r>
    </w:p>
    <w:p w14:paraId="4ACE4221">
      <w:pPr>
        <w:widowControl/>
        <w:spacing w:line="560" w:lineRule="exact"/>
        <w:ind w:firstLine="640" w:firstLineChars="200"/>
        <w:jc w:val="left"/>
        <w:rPr>
          <w:rFonts w:hint="eastAsia" w:ascii="仿宋" w:hAnsi="仿宋" w:eastAsia="仿宋"/>
        </w:rPr>
      </w:pPr>
      <w:r>
        <w:rPr>
          <w:rFonts w:hint="eastAsia" w:ascii="仿宋" w:hAnsi="仿宋" w:eastAsia="仿宋"/>
        </w:rPr>
        <w:t>（二）负责自然资源调查监测评价。执行全区自然资源调查监测评价的指标体系和统计标准。实施自然资源基础调查、专项调查和监测。负责自然资源调查监测评价成果的监督管理和信息发布。</w:t>
      </w:r>
    </w:p>
    <w:p w14:paraId="241FFB97">
      <w:pPr>
        <w:widowControl/>
        <w:spacing w:line="560" w:lineRule="exact"/>
        <w:ind w:firstLine="640" w:firstLineChars="200"/>
        <w:jc w:val="left"/>
        <w:rPr>
          <w:rFonts w:hint="eastAsia" w:ascii="仿宋" w:hAnsi="仿宋" w:eastAsia="仿宋"/>
        </w:rPr>
      </w:pPr>
      <w:r>
        <w:rPr>
          <w:rFonts w:hint="eastAsia" w:ascii="仿宋" w:hAnsi="仿宋" w:eastAsia="仿宋"/>
        </w:rPr>
        <w:t>（三）负责自然资源统一确权登记工作。协助市自然资源局做好不动产统一确权登记，负责辖区内各类自然资源权籍调查、不动产测绘、争议调处、成果应用的制度。建立健全全区自然资源和不动产登记信息管理基础平台。负责自然资源和不动产登记资料收集、整理、共享、汇交管理等。</w:t>
      </w:r>
    </w:p>
    <w:p w14:paraId="42C77C12">
      <w:pPr>
        <w:widowControl/>
        <w:spacing w:line="560" w:lineRule="exact"/>
        <w:ind w:firstLine="640" w:firstLineChars="200"/>
        <w:jc w:val="left"/>
        <w:rPr>
          <w:rFonts w:hint="eastAsia" w:ascii="仿宋" w:hAnsi="仿宋" w:eastAsia="仿宋"/>
        </w:rPr>
      </w:pPr>
      <w:r>
        <w:rPr>
          <w:rFonts w:hint="eastAsia" w:ascii="仿宋" w:hAnsi="仿宋" w:eastAsia="仿宋"/>
        </w:rPr>
        <w:t>（四）负责自然资源资产有偿使用工作。贯彻执行全民所有自然资源资产统计制度，负责全民所有自然资源资产核算。编制全民所有自然资源资产负债表。拟订全民所有自然资源资产划拨、出让、租赁、作价出资和土地储备制度，合理配置全民所有自然资源资产。负责自然资源资产价值评估管理，依法收缴相关资产收益。</w:t>
      </w:r>
    </w:p>
    <w:p w14:paraId="46E1F386">
      <w:pPr>
        <w:widowControl/>
        <w:spacing w:line="560" w:lineRule="exact"/>
        <w:ind w:firstLine="640" w:firstLineChars="200"/>
        <w:jc w:val="left"/>
        <w:rPr>
          <w:rFonts w:hint="eastAsia" w:ascii="仿宋" w:hAnsi="仿宋" w:eastAsia="仿宋"/>
        </w:rPr>
      </w:pPr>
      <w:r>
        <w:rPr>
          <w:rFonts w:hint="eastAsia" w:ascii="仿宋" w:hAnsi="仿宋" w:eastAsia="仿宋"/>
        </w:rPr>
        <w:t>（五）负责自然资源的合理开发利用。组织拟订自然资源发展规划及开发利用标准，建立政府公示自然资源价格体系，组织开展自然资源分等定级评估，开展自然资源利用评价考核，指导节约利用。负责自然资源市场监管。组织研究全区自然资源管理涉及宏观调控、区域协调和城乡统筹的政策措施。</w:t>
      </w:r>
    </w:p>
    <w:p w14:paraId="624195D7">
      <w:pPr>
        <w:widowControl/>
        <w:spacing w:line="560" w:lineRule="exact"/>
        <w:ind w:firstLine="640" w:firstLineChars="200"/>
        <w:jc w:val="left"/>
        <w:rPr>
          <w:rFonts w:hint="eastAsia" w:ascii="仿宋" w:hAnsi="仿宋" w:eastAsia="仿宋"/>
        </w:rPr>
      </w:pPr>
      <w:r>
        <w:rPr>
          <w:rFonts w:hint="eastAsia" w:ascii="仿宋" w:hAnsi="仿宋" w:eastAsia="仿宋"/>
        </w:rPr>
        <w:t>（六）配合做好空间规划及监督实施工作。配合市自然资源局组织编制并监督实施国土空间规划、相关专项规划、详细规划和城市设计。建立国土空间规划实施监测、评估和预警体系。组织划定生态保护红线、永久基本农田、城镇开发边界等控制线，构建节约资源和保护环境的生产、生活、生态空间布局。组织拟订并实施土地等自然资源年度利用计划。按照授权范围做好城乡实施管理工作，依法核发建设项目用地预审与选址意见书、建设用地规划许可证、建设工程规划许可证和乡村建设规划许可证，负责已批建设项目的批后监管和规划条件核实工作。负责指导监督基层规划编制管理。负责土地等国土空间用途转用工作。负责土地征收征用管理。</w:t>
      </w:r>
    </w:p>
    <w:p w14:paraId="00500616">
      <w:pPr>
        <w:widowControl/>
        <w:spacing w:line="560" w:lineRule="exact"/>
        <w:ind w:firstLine="640" w:firstLineChars="200"/>
        <w:jc w:val="left"/>
        <w:rPr>
          <w:rFonts w:hint="eastAsia" w:ascii="仿宋" w:hAnsi="仿宋" w:eastAsia="仿宋"/>
        </w:rPr>
      </w:pPr>
      <w:r>
        <w:rPr>
          <w:rFonts w:hint="eastAsia" w:ascii="仿宋" w:hAnsi="仿宋" w:eastAsia="仿宋"/>
        </w:rPr>
        <w:t>（七）负责统筹国土空间生态修复。牵头组织编制国土空间生态修复规划并实施有关生态修复工程。负责国土空间综合整治、土地整理复垦、矿山地质环境恢复治理、矿业遗迹保护等工作。</w:t>
      </w:r>
    </w:p>
    <w:p w14:paraId="5FB09902">
      <w:pPr>
        <w:widowControl/>
        <w:spacing w:line="560" w:lineRule="exact"/>
        <w:ind w:firstLine="640" w:firstLineChars="200"/>
        <w:jc w:val="left"/>
        <w:rPr>
          <w:rFonts w:hint="eastAsia" w:ascii="仿宋" w:hAnsi="仿宋" w:eastAsia="仿宋"/>
        </w:rPr>
      </w:pPr>
      <w:r>
        <w:rPr>
          <w:rFonts w:hint="eastAsia" w:ascii="仿宋" w:hAnsi="仿宋" w:eastAsia="仿宋"/>
        </w:rP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14:paraId="4F55F379">
      <w:pPr>
        <w:widowControl/>
        <w:spacing w:line="560" w:lineRule="exact"/>
        <w:ind w:firstLine="640" w:firstLineChars="200"/>
        <w:jc w:val="left"/>
        <w:rPr>
          <w:rFonts w:hint="eastAsia" w:ascii="仿宋" w:hAnsi="仿宋" w:eastAsia="仿宋"/>
        </w:rPr>
      </w:pPr>
      <w:r>
        <w:rPr>
          <w:rFonts w:hint="eastAsia" w:ascii="仿宋" w:hAnsi="仿宋" w:eastAsia="仿宋"/>
        </w:rPr>
        <w:t>（九）负责管理地质勘查行业和全区地质工作。执行地质勘查规划并监督检查执行情况。配合监督管理上级自然资源部门委托的地质调查、矿产勘查项目。负责监督管理地下水过量开采、疏干及引发的地面沉降等地质问题。负责古生物化石等地质遗迹的监督管理。</w:t>
      </w:r>
    </w:p>
    <w:p w14:paraId="34F69987">
      <w:pPr>
        <w:widowControl/>
        <w:spacing w:line="560" w:lineRule="exact"/>
        <w:ind w:firstLine="640" w:firstLineChars="200"/>
        <w:jc w:val="left"/>
        <w:rPr>
          <w:rFonts w:hint="eastAsia" w:ascii="仿宋" w:hAnsi="仿宋" w:eastAsia="仿宋"/>
        </w:rPr>
      </w:pPr>
      <w:r>
        <w:rPr>
          <w:rFonts w:hint="eastAsia" w:ascii="仿宋" w:hAnsi="仿宋" w:eastAsia="仿宋"/>
        </w:rPr>
        <w:t>（十）负责矿产资源管理工作。负责权限内的矿产资源储量管理及压覆矿产资源审批。负责矿业权管理。会同有关部门承担保护性开采的特定矿种、优势矿产的调控及相关管理工作。监督指导矿产资源合理利用和保护。</w:t>
      </w:r>
    </w:p>
    <w:p w14:paraId="33C904C5">
      <w:pPr>
        <w:widowControl/>
        <w:spacing w:line="560" w:lineRule="exact"/>
        <w:ind w:firstLine="640" w:firstLineChars="200"/>
        <w:jc w:val="left"/>
        <w:rPr>
          <w:rFonts w:hint="eastAsia" w:ascii="仿宋" w:hAnsi="仿宋" w:eastAsia="仿宋"/>
        </w:rPr>
      </w:pPr>
      <w:r>
        <w:rPr>
          <w:rFonts w:hint="eastAsia" w:ascii="仿宋" w:hAnsi="仿宋" w:eastAsia="仿宋"/>
        </w:rPr>
        <w:t>（十一）负责测绘地理信息管理工作。负责基础测绘和测绘行业管理。负责测绘资质资格与信用管理，监督管理全区地理信息安全和区地理信息安全和市场秩序。负责地理信息公共服务管理。负责测量标志保护。规范和管理权限内卫星导航定位基准站。</w:t>
      </w:r>
    </w:p>
    <w:p w14:paraId="2E8FEF34">
      <w:pPr>
        <w:widowControl/>
        <w:spacing w:line="560" w:lineRule="exact"/>
        <w:ind w:firstLine="640" w:firstLineChars="200"/>
        <w:jc w:val="left"/>
        <w:rPr>
          <w:rFonts w:hint="eastAsia" w:ascii="仿宋" w:hAnsi="仿宋" w:eastAsia="仿宋"/>
        </w:rPr>
      </w:pPr>
      <w:r>
        <w:rPr>
          <w:rFonts w:hint="eastAsia" w:ascii="仿宋" w:hAnsi="仿宋" w:eastAsia="仿宋"/>
        </w:rPr>
        <w:t>(十</w:t>
      </w:r>
      <w:r>
        <w:rPr>
          <w:rFonts w:hint="eastAsia" w:ascii="仿宋" w:hAnsi="仿宋" w:eastAsia="仿宋"/>
          <w:lang w:val="en-US" w:eastAsia="zh-CN"/>
        </w:rPr>
        <w:t>二</w:t>
      </w:r>
      <w:r>
        <w:rPr>
          <w:rFonts w:hint="eastAsia" w:ascii="仿宋" w:hAnsi="仿宋" w:eastAsia="仿宋"/>
        </w:rPr>
        <w:t>)推动自然资源领域科技发展。实施自然资源领域科技创新发展和人才培养规划和计划。组织实施技术标准规程规范。组织实施重大科技工程及创新能力建设，推进自然资源信息化和信息资料的公共服务。组织开展自然资源领域对外交流合作。</w:t>
      </w:r>
    </w:p>
    <w:p w14:paraId="4CDAE192">
      <w:pPr>
        <w:widowControl/>
        <w:spacing w:line="560" w:lineRule="exact"/>
        <w:ind w:firstLine="640" w:firstLineChars="200"/>
        <w:jc w:val="left"/>
        <w:rPr>
          <w:rFonts w:hint="eastAsia" w:ascii="仿宋" w:hAnsi="仿宋" w:eastAsia="仿宋"/>
        </w:rPr>
      </w:pPr>
      <w:r>
        <w:rPr>
          <w:rFonts w:hint="eastAsia" w:ascii="仿宋" w:hAnsi="仿宋" w:eastAsia="仿宋"/>
        </w:rPr>
        <w:t>(十</w:t>
      </w:r>
      <w:r>
        <w:rPr>
          <w:rFonts w:hint="eastAsia" w:ascii="仿宋" w:hAnsi="仿宋" w:eastAsia="仿宋"/>
          <w:lang w:val="en-US" w:eastAsia="zh-CN"/>
        </w:rPr>
        <w:t>三</w:t>
      </w:r>
      <w:r>
        <w:rPr>
          <w:rFonts w:hint="eastAsia" w:ascii="仿宋" w:hAnsi="仿宋" w:eastAsia="仿宋"/>
        </w:rPr>
        <w:t>)对落实关于自然资源和国土空间规划的方针政策、决策部署及法律法规执行情况进行检查。</w:t>
      </w:r>
    </w:p>
    <w:p w14:paraId="1F8C6AD8">
      <w:pPr>
        <w:widowControl/>
        <w:spacing w:line="560" w:lineRule="exact"/>
        <w:ind w:firstLine="640" w:firstLineChars="200"/>
        <w:jc w:val="left"/>
        <w:rPr>
          <w:rFonts w:ascii="仿宋" w:hAnsi="仿宋" w:eastAsia="仿宋"/>
        </w:rPr>
      </w:pPr>
      <w:r>
        <w:rPr>
          <w:rFonts w:hint="eastAsia" w:ascii="仿宋" w:hAnsi="仿宋" w:eastAsia="仿宋"/>
        </w:rPr>
        <w:t>(十</w:t>
      </w:r>
      <w:r>
        <w:rPr>
          <w:rFonts w:hint="eastAsia" w:ascii="仿宋" w:hAnsi="仿宋" w:eastAsia="仿宋"/>
          <w:lang w:val="en-US" w:eastAsia="zh-CN"/>
        </w:rPr>
        <w:t>四</w:t>
      </w:r>
      <w:r>
        <w:rPr>
          <w:rFonts w:hint="eastAsia" w:ascii="仿宋" w:hAnsi="仿宋" w:eastAsia="仿宋"/>
        </w:rPr>
        <w:t>)完成市自然资源局和区委、区政府交办的其他工作任务。</w:t>
      </w:r>
    </w:p>
    <w:p w14:paraId="7AF0301A">
      <w:pPr>
        <w:widowControl/>
        <w:spacing w:line="560" w:lineRule="exact"/>
        <w:ind w:firstLine="640" w:firstLineChars="200"/>
        <w:jc w:val="left"/>
        <w:rPr>
          <w:rFonts w:ascii="黑体" w:hAnsi="黑体" w:eastAsia="黑体"/>
        </w:rPr>
      </w:pPr>
      <w:r>
        <w:rPr>
          <w:rFonts w:hint="eastAsia" w:ascii="黑体" w:hAnsi="黑体" w:eastAsia="黑体"/>
        </w:rPr>
        <w:t>二、机构设置及人员情况</w:t>
      </w:r>
    </w:p>
    <w:p w14:paraId="17256F38">
      <w:pPr>
        <w:spacing w:line="560" w:lineRule="exact"/>
        <w:ind w:firstLine="640" w:firstLineChars="200"/>
        <w:rPr>
          <w:rFonts w:ascii="仿宋" w:hAnsi="仿宋" w:eastAsia="仿宋"/>
        </w:rPr>
      </w:pPr>
      <w:r>
        <w:rPr>
          <w:rFonts w:hint="eastAsia" w:ascii="仿宋" w:hAnsi="仿宋" w:eastAsia="仿宋"/>
          <w:lang w:val="en-US" w:eastAsia="zh-CN"/>
        </w:rPr>
        <w:t>2025年九江市自然资源局浔阳区分局共有预算单位1个，包括九江市自然资源局浔阳区分局。</w:t>
      </w:r>
      <w:r>
        <w:rPr>
          <w:rFonts w:ascii="仿宋" w:hAnsi="仿宋" w:eastAsia="仿宋"/>
        </w:rPr>
        <w:t>2025</w:t>
      </w:r>
      <w:r>
        <w:rPr>
          <w:rFonts w:hint="eastAsia" w:ascii="仿宋" w:hAnsi="仿宋" w:eastAsia="仿宋"/>
        </w:rPr>
        <w:t>年</w:t>
      </w:r>
      <w:r>
        <w:rPr>
          <w:rFonts w:ascii="仿宋" w:hAnsi="仿宋" w:eastAsia="仿宋"/>
        </w:rPr>
        <w:fldChar w:fldCharType="begin"/>
      </w:r>
      <w:r>
        <w:rPr>
          <w:rFonts w:ascii="仿宋" w:hAnsi="仿宋" w:eastAsia="仿宋"/>
        </w:rPr>
        <w:instrText xml:space="preserve">MERGEFIELD ${page540426799.ds254512694_REP_JXJC_AGENCY_WZR_NAME}</w:instrText>
      </w:r>
      <w:r>
        <w:rPr>
          <w:rFonts w:ascii="仿宋" w:hAnsi="仿宋" w:eastAsia="仿宋"/>
        </w:rPr>
        <w:fldChar w:fldCharType="separate"/>
      </w:r>
      <w:r>
        <w:rPr>
          <w:rFonts w:ascii="仿宋" w:hAnsi="仿宋" w:eastAsia="仿宋"/>
        </w:rPr>
        <w:t>九江市</w:t>
      </w:r>
      <w:r>
        <w:rPr>
          <w:rFonts w:hint="eastAsia" w:ascii="仿宋" w:hAnsi="仿宋" w:eastAsia="仿宋"/>
        </w:rPr>
        <w:t>自然资源局浔阳区分</w:t>
      </w:r>
      <w:r>
        <w:rPr>
          <w:rFonts w:ascii="仿宋" w:hAnsi="仿宋" w:eastAsia="仿宋"/>
        </w:rPr>
        <w:t>局</w:t>
      </w:r>
      <w:r>
        <w:rPr>
          <w:rFonts w:ascii="仿宋" w:hAnsi="仿宋" w:eastAsia="仿宋"/>
        </w:rPr>
        <w:fldChar w:fldCharType="end"/>
      </w:r>
      <w:r>
        <w:rPr>
          <w:rFonts w:hint="eastAsia" w:ascii="仿宋" w:hAnsi="仿宋" w:eastAsia="仿宋"/>
        </w:rPr>
        <w:t>内设科室4个，</w:t>
      </w:r>
      <w:r>
        <w:rPr>
          <w:rFonts w:ascii="仿宋" w:hAnsi="仿宋" w:eastAsia="仿宋"/>
        </w:rPr>
        <w:t>包括</w:t>
      </w:r>
      <w:r>
        <w:rPr>
          <w:rFonts w:hint="eastAsia" w:ascii="仿宋" w:hAnsi="仿宋" w:eastAsia="仿宋"/>
        </w:rPr>
        <w:t>：综合办公室、自然资源管理股、自然资源规划股及下属事业单位九江市自然资源储备利用中心浔阳区分中心(非独立核算)。</w:t>
      </w:r>
    </w:p>
    <w:p w14:paraId="0B87B495">
      <w:pPr>
        <w:spacing w:line="560" w:lineRule="exact"/>
        <w:ind w:firstLine="640" w:firstLineChars="200"/>
        <w:rPr>
          <w:rFonts w:ascii="仿宋" w:hAnsi="仿宋" w:eastAsia="仿宋"/>
          <w:b/>
        </w:rPr>
      </w:pPr>
      <w:r>
        <w:rPr>
          <w:rFonts w:hint="eastAsia" w:ascii="仿宋" w:hAnsi="仿宋" w:eastAsia="仿宋"/>
        </w:rPr>
        <w:t>编制人数小计20人,其中：行政编制人数14人,参照公务员管理的事业编制人数0人,全部补助事业编制人数6人,自收自支编制人数0人。实有人数小计43人,其中：在职人数小计</w:t>
      </w:r>
      <w:r>
        <w:rPr>
          <w:rFonts w:hint="eastAsia" w:ascii="仿宋" w:hAnsi="仿宋" w:eastAsia="仿宋"/>
          <w:lang w:val="en-US" w:eastAsia="zh-CN"/>
        </w:rPr>
        <w:t>18</w:t>
      </w:r>
      <w:r>
        <w:rPr>
          <w:rFonts w:hint="eastAsia" w:ascii="仿宋" w:hAnsi="仿宋" w:eastAsia="仿宋"/>
        </w:rPr>
        <w:t>人,行政在职人数12人,参照公务员管理的事业单位在职人数0人,全部补助事业在职人数6人。离休人数小计0人,退休人数小计21人,退职人员0人,遗属人数0人。在校学生0人,其中：本科生人数0人，专科生人数0人。聘用人员4人。</w:t>
      </w:r>
    </w:p>
    <w:p w14:paraId="6A4673B7">
      <w:pPr>
        <w:widowControl/>
        <w:spacing w:line="560" w:lineRule="exact"/>
        <w:jc w:val="center"/>
        <w:rPr>
          <w:rFonts w:ascii="黑体" w:hAnsi="黑体" w:eastAsia="黑体"/>
        </w:rPr>
      </w:pPr>
      <w:r>
        <w:rPr>
          <w:rFonts w:hint="eastAsia" w:ascii="黑体" w:hAnsi="黑体" w:eastAsia="黑体"/>
        </w:rPr>
        <w:t xml:space="preserve">第二部分  </w:t>
      </w:r>
      <w:r>
        <w:rPr>
          <w:rFonts w:ascii="黑体" w:hAnsi="黑体" w:eastAsia="黑体"/>
        </w:rPr>
        <w:fldChar w:fldCharType="begin"/>
      </w:r>
      <w:r>
        <w:rPr>
          <w:rFonts w:ascii="黑体" w:hAnsi="黑体" w:eastAsia="黑体"/>
        </w:rPr>
        <w:instrText xml:space="preserve">MERGEFIELD ${page540426799.ds254512694_REP_JXJC_AGENCY_WZR_NAME}</w:instrText>
      </w:r>
      <w:r>
        <w:rPr>
          <w:rFonts w:ascii="黑体" w:hAnsi="黑体" w:eastAsia="黑体"/>
        </w:rPr>
        <w:fldChar w:fldCharType="separate"/>
      </w:r>
      <w:r>
        <w:rPr>
          <w:rFonts w:ascii="黑体" w:hAnsi="黑体" w:eastAsia="黑体"/>
        </w:rPr>
        <w:t>九江市</w:t>
      </w:r>
      <w:r>
        <w:rPr>
          <w:rFonts w:hint="eastAsia" w:ascii="黑体" w:hAnsi="黑体" w:eastAsia="黑体"/>
        </w:rPr>
        <w:t>自然资源局浔阳区分</w:t>
      </w:r>
      <w:r>
        <w:rPr>
          <w:rFonts w:ascii="黑体" w:hAnsi="黑体" w:eastAsia="黑体"/>
        </w:rPr>
        <w:t>局</w:t>
      </w:r>
      <w:r>
        <w:rPr>
          <w:rFonts w:ascii="黑体" w:hAnsi="黑体" w:eastAsia="黑体"/>
        </w:rPr>
        <w:fldChar w:fldCharType="end"/>
      </w:r>
      <w:r>
        <w:rPr>
          <w:rFonts w:hint="eastAsia" w:ascii="黑体" w:hAnsi="黑体" w:eastAsia="黑体"/>
        </w:rPr>
        <w:t>2025年单位预算表</w:t>
      </w:r>
    </w:p>
    <w:p w14:paraId="250ADEBC">
      <w:pPr>
        <w:spacing w:line="560" w:lineRule="exact"/>
        <w:ind w:firstLine="640" w:firstLineChars="200"/>
        <w:jc w:val="left"/>
        <w:rPr>
          <w:rFonts w:ascii="仿宋" w:hAnsi="仿宋" w:eastAsia="仿宋"/>
          <w:bCs/>
        </w:rPr>
      </w:pPr>
      <w:r>
        <w:rPr>
          <w:rFonts w:hint="eastAsia" w:ascii="仿宋" w:hAnsi="仿宋" w:eastAsia="仿宋"/>
          <w:bCs/>
        </w:rPr>
        <w:t>（</w:t>
      </w:r>
      <w:r>
        <w:rPr>
          <w:rFonts w:hint="eastAsia" w:ascii="仿宋" w:hAnsi="仿宋" w:eastAsia="仿宋"/>
          <w:bCs/>
          <w:lang w:val="en-US" w:eastAsia="zh-CN"/>
        </w:rPr>
        <w:t>详见附表</w:t>
      </w:r>
      <w:r>
        <w:rPr>
          <w:rFonts w:hint="eastAsia" w:ascii="仿宋" w:hAnsi="仿宋" w:eastAsia="仿宋"/>
          <w:bCs/>
        </w:rPr>
        <w:t>）</w:t>
      </w:r>
    </w:p>
    <w:p w14:paraId="6F92FD63">
      <w:pPr>
        <w:spacing w:line="560" w:lineRule="exact"/>
        <w:jc w:val="left"/>
        <w:rPr>
          <w:rStyle w:val="10"/>
          <w:rFonts w:ascii="仿宋" w:hAnsi="仿宋" w:eastAsia="仿宋"/>
          <w:bCs/>
        </w:rPr>
      </w:pPr>
    </w:p>
    <w:p w14:paraId="57742B31">
      <w:pPr>
        <w:widowControl/>
        <w:spacing w:line="560" w:lineRule="exact"/>
        <w:jc w:val="center"/>
        <w:rPr>
          <w:rFonts w:ascii="黑体" w:hAnsi="黑体" w:eastAsia="黑体"/>
        </w:rPr>
      </w:pPr>
      <w:r>
        <w:rPr>
          <w:rFonts w:hint="eastAsia" w:ascii="黑体" w:hAnsi="黑体" w:eastAsia="黑体"/>
        </w:rPr>
        <w:t xml:space="preserve">第三部分 </w:t>
      </w:r>
      <w:r>
        <w:rPr>
          <w:rFonts w:ascii="黑体" w:hAnsi="黑体" w:eastAsia="黑体"/>
        </w:rPr>
        <w:fldChar w:fldCharType="begin"/>
      </w:r>
      <w:r>
        <w:rPr>
          <w:rFonts w:ascii="黑体" w:hAnsi="黑体" w:eastAsia="黑体"/>
        </w:rPr>
        <w:instrText xml:space="preserve">MERGEFIELD ${page540426799.ds254512694_REP_JXJC_AGENCY_WZR_NAME}</w:instrText>
      </w:r>
      <w:r>
        <w:rPr>
          <w:rFonts w:ascii="黑体" w:hAnsi="黑体" w:eastAsia="黑体"/>
        </w:rPr>
        <w:fldChar w:fldCharType="separate"/>
      </w:r>
      <w:r>
        <w:rPr>
          <w:rFonts w:ascii="黑体" w:hAnsi="黑体" w:eastAsia="黑体"/>
        </w:rPr>
        <w:t>九江市</w:t>
      </w:r>
      <w:r>
        <w:rPr>
          <w:rFonts w:hint="eastAsia" w:ascii="黑体" w:hAnsi="黑体" w:eastAsia="黑体"/>
        </w:rPr>
        <w:t>自然资源局浔阳区分</w:t>
      </w:r>
      <w:r>
        <w:rPr>
          <w:rFonts w:ascii="黑体" w:hAnsi="黑体" w:eastAsia="黑体"/>
        </w:rPr>
        <w:t>局</w:t>
      </w:r>
      <w:r>
        <w:rPr>
          <w:rFonts w:ascii="黑体" w:hAnsi="黑体" w:eastAsia="黑体"/>
        </w:rPr>
        <w:fldChar w:fldCharType="end"/>
      </w:r>
      <w:r>
        <w:rPr>
          <w:rFonts w:hint="eastAsia" w:ascii="黑体" w:hAnsi="黑体" w:eastAsia="黑体"/>
        </w:rPr>
        <w:t>2025年单位预算情况说明</w:t>
      </w:r>
    </w:p>
    <w:p w14:paraId="2165B952">
      <w:pPr>
        <w:widowControl/>
        <w:spacing w:line="560" w:lineRule="exact"/>
        <w:jc w:val="center"/>
        <w:rPr>
          <w:rFonts w:ascii="仿宋_GB2312"/>
          <w:b/>
          <w:szCs w:val="30"/>
        </w:rPr>
      </w:pPr>
    </w:p>
    <w:p w14:paraId="667161EF">
      <w:pPr>
        <w:widowControl/>
        <w:spacing w:line="560" w:lineRule="exact"/>
        <w:ind w:firstLine="640" w:firstLineChars="200"/>
        <w:jc w:val="left"/>
        <w:rPr>
          <w:rFonts w:ascii="黑体" w:hAnsi="黑体" w:eastAsia="黑体"/>
          <w:szCs w:val="30"/>
        </w:rPr>
      </w:pPr>
      <w:r>
        <w:rPr>
          <w:rFonts w:hint="eastAsia" w:ascii="黑体" w:hAnsi="黑体" w:eastAsia="黑体"/>
          <w:szCs w:val="30"/>
        </w:rPr>
        <w:t>一、2025年单位预算收支情况说明</w:t>
      </w:r>
    </w:p>
    <w:p w14:paraId="58871003">
      <w:pPr>
        <w:spacing w:line="560" w:lineRule="exact"/>
        <w:ind w:firstLine="640" w:firstLineChars="200"/>
        <w:rPr>
          <w:rStyle w:val="10"/>
          <w:rFonts w:ascii="楷体_GB2312" w:hAnsi="仿宋" w:eastAsia="楷体_GB2312"/>
        </w:rPr>
      </w:pPr>
      <w:r>
        <w:rPr>
          <w:rStyle w:val="10"/>
          <w:rFonts w:hint="eastAsia" w:ascii="楷体_GB2312" w:hAnsi="仿宋" w:eastAsia="楷体_GB2312"/>
        </w:rPr>
        <w:t>(一)收入预算情况。</w:t>
      </w:r>
    </w:p>
    <w:p w14:paraId="3F21CF69">
      <w:pPr>
        <w:widowControl/>
        <w:spacing w:line="560" w:lineRule="exact"/>
        <w:ind w:firstLine="640" w:firstLineChars="200"/>
        <w:rPr>
          <w:rFonts w:ascii="仿宋" w:hAnsi="仿宋" w:eastAsia="仿宋"/>
          <w:kern w:val="0"/>
        </w:rPr>
      </w:pPr>
      <w:r>
        <w:rPr>
          <w:rFonts w:hint="eastAsia" w:ascii="仿宋" w:hAnsi="仿宋" w:eastAsia="仿宋"/>
          <w:kern w:val="0"/>
        </w:rPr>
        <w:t>2025年九江市自然资源局浔阳区分局收入预算总额为</w:t>
      </w:r>
      <w:r>
        <w:rPr>
          <w:rFonts w:ascii="仿宋" w:hAnsi="仿宋" w:eastAsia="仿宋"/>
          <w:kern w:val="0"/>
        </w:rPr>
        <w:t>625.33</w:t>
      </w:r>
      <w:r>
        <w:rPr>
          <w:rFonts w:hint="eastAsia" w:ascii="仿宋" w:hAnsi="仿宋" w:eastAsia="仿宋"/>
          <w:kern w:val="0"/>
        </w:rPr>
        <w:t>万元,较上年预算安排减少168.13万元，下降21.19%，主要原因为机构改革原浔阳区自然资源执法监察大队（非独立核算）相关人员调出本单位;财政拨款收入625.33万元,较上年预算安排减少159.13万元;教育收费资金收入0</w:t>
      </w:r>
      <w:r>
        <w:rPr>
          <w:rFonts w:hint="eastAsia" w:ascii="仿宋" w:hAnsi="仿宋" w:eastAsia="仿宋"/>
          <w:kern w:val="0"/>
          <w:lang w:val="en-US" w:eastAsia="zh-CN"/>
        </w:rPr>
        <w:t>.00</w:t>
      </w:r>
      <w:r>
        <w:rPr>
          <w:rFonts w:hint="eastAsia" w:ascii="仿宋" w:hAnsi="仿宋" w:eastAsia="仿宋"/>
          <w:kern w:val="0"/>
        </w:rPr>
        <w:t>万元,较上年预算安排增加0</w:t>
      </w:r>
      <w:r>
        <w:rPr>
          <w:rFonts w:hint="eastAsia" w:ascii="仿宋" w:hAnsi="仿宋" w:eastAsia="仿宋"/>
          <w:kern w:val="0"/>
          <w:lang w:val="en-US" w:eastAsia="zh-CN"/>
        </w:rPr>
        <w:t>.00</w:t>
      </w:r>
      <w:r>
        <w:rPr>
          <w:rFonts w:hint="eastAsia" w:ascii="仿宋" w:hAnsi="仿宋" w:eastAsia="仿宋"/>
          <w:kern w:val="0"/>
        </w:rPr>
        <w:t>万元;事业单位经营收入0</w:t>
      </w:r>
      <w:r>
        <w:rPr>
          <w:rFonts w:hint="eastAsia" w:ascii="仿宋" w:hAnsi="仿宋" w:eastAsia="仿宋"/>
          <w:kern w:val="0"/>
          <w:lang w:val="en-US" w:eastAsia="zh-CN"/>
        </w:rPr>
        <w:t>.00</w:t>
      </w:r>
      <w:r>
        <w:rPr>
          <w:rFonts w:hint="eastAsia" w:ascii="仿宋" w:hAnsi="仿宋" w:eastAsia="仿宋"/>
          <w:kern w:val="0"/>
        </w:rPr>
        <w:t>万元,较上年预算安排减少6</w:t>
      </w:r>
      <w:r>
        <w:rPr>
          <w:rFonts w:hint="eastAsia" w:ascii="仿宋" w:hAnsi="仿宋" w:eastAsia="仿宋"/>
          <w:kern w:val="0"/>
          <w:lang w:val="en-US" w:eastAsia="zh-CN"/>
        </w:rPr>
        <w:t>.00</w:t>
      </w:r>
      <w:r>
        <w:rPr>
          <w:rFonts w:hint="eastAsia" w:ascii="仿宋" w:hAnsi="仿宋" w:eastAsia="仿宋"/>
          <w:kern w:val="0"/>
        </w:rPr>
        <w:t>万元;其他收入0</w:t>
      </w:r>
      <w:r>
        <w:rPr>
          <w:rFonts w:hint="eastAsia" w:ascii="仿宋" w:hAnsi="仿宋" w:eastAsia="仿宋"/>
          <w:kern w:val="0"/>
          <w:lang w:val="en-US" w:eastAsia="zh-CN"/>
        </w:rPr>
        <w:t>.00</w:t>
      </w:r>
      <w:r>
        <w:rPr>
          <w:rFonts w:hint="eastAsia" w:ascii="仿宋" w:hAnsi="仿宋" w:eastAsia="仿宋"/>
          <w:kern w:val="0"/>
        </w:rPr>
        <w:t>万元，较上年预算安排减少3</w:t>
      </w:r>
      <w:r>
        <w:rPr>
          <w:rFonts w:hint="eastAsia" w:ascii="仿宋" w:hAnsi="仿宋" w:eastAsia="仿宋"/>
          <w:kern w:val="0"/>
          <w:lang w:val="en-US" w:eastAsia="zh-CN"/>
        </w:rPr>
        <w:t>.00</w:t>
      </w:r>
      <w:r>
        <w:rPr>
          <w:rFonts w:hint="eastAsia" w:ascii="仿宋" w:hAnsi="仿宋" w:eastAsia="仿宋"/>
          <w:kern w:val="0"/>
        </w:rPr>
        <w:t>万元；国库集中支付网上结转0</w:t>
      </w:r>
      <w:r>
        <w:rPr>
          <w:rFonts w:hint="eastAsia" w:ascii="仿宋" w:hAnsi="仿宋" w:eastAsia="仿宋"/>
          <w:kern w:val="0"/>
          <w:lang w:val="en-US" w:eastAsia="zh-CN"/>
        </w:rPr>
        <w:t>.00</w:t>
      </w:r>
      <w:r>
        <w:rPr>
          <w:rFonts w:hint="eastAsia" w:ascii="仿宋" w:hAnsi="仿宋" w:eastAsia="仿宋"/>
          <w:kern w:val="0"/>
        </w:rPr>
        <w:t>万元,较上年预算安排增加0</w:t>
      </w:r>
      <w:r>
        <w:rPr>
          <w:rFonts w:hint="eastAsia" w:ascii="仿宋" w:hAnsi="仿宋" w:eastAsia="仿宋"/>
          <w:kern w:val="0"/>
          <w:lang w:val="en-US" w:eastAsia="zh-CN"/>
        </w:rPr>
        <w:t>.00</w:t>
      </w:r>
      <w:r>
        <w:rPr>
          <w:rFonts w:hint="eastAsia" w:ascii="仿宋" w:hAnsi="仿宋" w:eastAsia="仿宋"/>
          <w:kern w:val="0"/>
        </w:rPr>
        <w:t>万元。</w:t>
      </w:r>
    </w:p>
    <w:p w14:paraId="6301EDE7">
      <w:pPr>
        <w:spacing w:line="560" w:lineRule="exact"/>
        <w:ind w:firstLine="640" w:firstLineChars="200"/>
        <w:rPr>
          <w:rStyle w:val="10"/>
          <w:rFonts w:ascii="楷体_GB2312" w:hAnsi="仿宋" w:eastAsia="楷体_GB2312"/>
        </w:rPr>
      </w:pPr>
      <w:r>
        <w:rPr>
          <w:rStyle w:val="10"/>
          <w:rFonts w:hint="eastAsia" w:ascii="楷体_GB2312" w:hAnsi="仿宋" w:eastAsia="楷体_GB2312"/>
        </w:rPr>
        <w:t>(二)支出预算情况。</w:t>
      </w:r>
    </w:p>
    <w:p w14:paraId="3A89500D">
      <w:pPr>
        <w:spacing w:line="560" w:lineRule="exact"/>
        <w:ind w:firstLine="640" w:firstLineChars="200"/>
        <w:rPr>
          <w:rStyle w:val="10"/>
          <w:rFonts w:ascii="仿宋" w:hAnsi="仿宋" w:eastAsia="仿宋"/>
        </w:rPr>
      </w:pPr>
      <w:r>
        <w:rPr>
          <w:rStyle w:val="10"/>
          <w:rFonts w:hint="eastAsia" w:ascii="仿宋" w:hAnsi="仿宋" w:eastAsia="仿宋"/>
        </w:rPr>
        <w:t>2025年</w:t>
      </w:r>
      <w:r>
        <w:rPr>
          <w:rStyle w:val="10"/>
        </w:rPr>
        <w:fldChar w:fldCharType="begin"/>
      </w:r>
      <w:r>
        <w:rPr>
          <w:rStyle w:val="10"/>
          <w:rFonts w:ascii="仿宋" w:hAnsi="仿宋" w:eastAsia="仿宋"/>
        </w:rPr>
        <w:instrText xml:space="preserve">MERGEFIELD ${page400644146.ds215660413_REP_JXJC_AGENCY_WZR_NAME}</w:instrText>
      </w:r>
      <w:r>
        <w:rPr>
          <w:rStyle w:val="10"/>
        </w:rPr>
        <w:fldChar w:fldCharType="separate"/>
      </w:r>
      <w:r>
        <w:rPr>
          <w:rStyle w:val="10"/>
          <w:rFonts w:ascii="仿宋" w:hAnsi="仿宋" w:eastAsia="仿宋"/>
        </w:rPr>
        <w:t>九江市</w:t>
      </w:r>
      <w:r>
        <w:rPr>
          <w:rStyle w:val="10"/>
          <w:rFonts w:hint="eastAsia" w:ascii="仿宋" w:hAnsi="仿宋" w:eastAsia="仿宋"/>
        </w:rPr>
        <w:t>自然资源局浔阳区分</w:t>
      </w:r>
      <w:r>
        <w:rPr>
          <w:rStyle w:val="10"/>
          <w:rFonts w:ascii="仿宋" w:hAnsi="仿宋" w:eastAsia="仿宋"/>
        </w:rPr>
        <w:t>局</w:t>
      </w:r>
      <w:r>
        <w:rPr>
          <w:rFonts w:ascii="仿宋" w:hAnsi="仿宋" w:eastAsia="仿宋"/>
        </w:rPr>
        <w:fldChar w:fldCharType="end"/>
      </w:r>
      <w:r>
        <w:rPr>
          <w:rStyle w:val="10"/>
        </w:rPr>
        <w:fldChar w:fldCharType="begin"/>
      </w:r>
      <w:r>
        <w:rPr>
          <w:rStyle w:val="10"/>
          <w:rFonts w:ascii="仿宋" w:hAnsi="仿宋" w:eastAsia="仿宋"/>
        </w:rPr>
        <w:instrText xml:space="preserve">MERGEFIELD ${page400644146.ds215660413_REP_BGT_T_HC1100002019_DXQ02_S_ZJ}</w:instrText>
      </w:r>
      <w:r>
        <w:rPr>
          <w:rStyle w:val="10"/>
        </w:rPr>
        <w:fldChar w:fldCharType="separate"/>
      </w:r>
      <w:r>
        <w:rPr>
          <w:rStyle w:val="10"/>
          <w:rFonts w:ascii="仿宋" w:hAnsi="仿宋" w:eastAsia="仿宋"/>
        </w:rPr>
        <w:t>支出预算总额为</w:t>
      </w:r>
      <w:r>
        <w:rPr>
          <w:rStyle w:val="10"/>
          <w:rFonts w:hint="eastAsia" w:ascii="仿宋" w:hAnsi="仿宋" w:eastAsia="仿宋"/>
        </w:rPr>
        <w:t>625.33</w:t>
      </w:r>
      <w:r>
        <w:rPr>
          <w:rStyle w:val="10"/>
          <w:rFonts w:ascii="仿宋" w:hAnsi="仿宋" w:eastAsia="仿宋"/>
        </w:rPr>
        <w:t>万元,较上年预算安排减少</w:t>
      </w:r>
      <w:r>
        <w:rPr>
          <w:rStyle w:val="10"/>
          <w:rFonts w:hint="eastAsia" w:ascii="仿宋" w:hAnsi="仿宋" w:eastAsia="仿宋"/>
        </w:rPr>
        <w:t>168.13</w:t>
      </w:r>
      <w:r>
        <w:rPr>
          <w:rStyle w:val="10"/>
          <w:rFonts w:ascii="仿宋" w:hAnsi="仿宋" w:eastAsia="仿宋"/>
        </w:rPr>
        <w:t>万元</w:t>
      </w:r>
      <w:r>
        <w:rPr>
          <w:rStyle w:val="10"/>
          <w:rFonts w:hint="eastAsia" w:ascii="仿宋" w:hAnsi="仿宋" w:eastAsia="仿宋"/>
        </w:rPr>
        <w:t>，下降21.19%，主要原因同上</w:t>
      </w:r>
      <w:r>
        <w:rPr>
          <w:rStyle w:val="10"/>
          <w:rFonts w:ascii="仿宋" w:hAnsi="仿宋" w:eastAsia="仿宋"/>
        </w:rPr>
        <w:t>;</w:t>
      </w:r>
      <w:r>
        <w:rPr>
          <w:rFonts w:ascii="仿宋" w:hAnsi="仿宋" w:eastAsia="仿宋"/>
        </w:rPr>
        <w:fldChar w:fldCharType="end"/>
      </w:r>
      <w:r>
        <w:rPr>
          <w:rStyle w:val="10"/>
          <w:rFonts w:hint="eastAsia" w:ascii="仿宋" w:hAnsi="仿宋" w:eastAsia="仿宋"/>
        </w:rPr>
        <w:t>其中：</w:t>
      </w:r>
    </w:p>
    <w:p w14:paraId="383519BA">
      <w:pPr>
        <w:widowControl/>
        <w:spacing w:line="560" w:lineRule="exact"/>
        <w:ind w:firstLine="640" w:firstLineChars="200"/>
        <w:rPr>
          <w:rFonts w:hint="eastAsia" w:ascii="仿宋" w:hAnsi="仿宋" w:eastAsia="仿宋"/>
          <w:kern w:val="0"/>
        </w:rPr>
      </w:pPr>
      <w:r>
        <w:rPr>
          <w:rFonts w:hint="eastAsia" w:ascii="仿宋" w:hAnsi="仿宋" w:eastAsia="仿宋"/>
          <w:kern w:val="0"/>
        </w:rPr>
        <w:t>按支出项目类别划分：</w:t>
      </w:r>
      <w:r>
        <w:rPr>
          <w:rFonts w:hint="eastAsia" w:ascii="仿宋" w:hAnsi="仿宋" w:eastAsia="仿宋"/>
          <w:kern w:val="0"/>
        </w:rPr>
        <w:fldChar w:fldCharType="begin"/>
      </w:r>
      <w:r>
        <w:rPr>
          <w:rFonts w:hint="eastAsia" w:ascii="仿宋" w:hAnsi="仿宋" w:eastAsia="仿宋"/>
          <w:kern w:val="0"/>
        </w:rPr>
        <w:instrText xml:space="preserve">MERGEFIELD ${page400644146.ds215660413_REP_BGT_T_HC1100002019_DXQ02_JBZCQK}</w:instrText>
      </w:r>
      <w:r>
        <w:rPr>
          <w:rFonts w:hint="eastAsia" w:ascii="仿宋" w:hAnsi="仿宋" w:eastAsia="仿宋"/>
          <w:kern w:val="0"/>
        </w:rPr>
        <w:fldChar w:fldCharType="separate"/>
      </w:r>
      <w:r>
        <w:rPr>
          <w:rFonts w:hint="eastAsia" w:ascii="仿宋" w:hAnsi="仿宋" w:eastAsia="仿宋"/>
          <w:kern w:val="0"/>
        </w:rPr>
        <w:t>基本支出</w:t>
      </w:r>
      <w:r>
        <w:rPr>
          <w:rFonts w:hint="eastAsia" w:ascii="仿宋" w:hAnsi="仿宋" w:eastAsia="仿宋"/>
          <w:kern w:val="0"/>
        </w:rPr>
        <w:t>501.91万元,较上年预算安排减少103.43万元;其中：工资福利支出</w:t>
      </w:r>
      <w:r>
        <w:rPr>
          <w:rFonts w:hint="eastAsia" w:ascii="仿宋" w:hAnsi="仿宋" w:eastAsia="仿宋"/>
          <w:kern w:val="0"/>
        </w:rPr>
        <w:t>372.23万元,商品和服务支出</w:t>
      </w:r>
      <w:r>
        <w:rPr>
          <w:rFonts w:hint="eastAsia" w:ascii="仿宋" w:hAnsi="仿宋" w:eastAsia="仿宋"/>
          <w:kern w:val="0"/>
        </w:rPr>
        <w:t>48.62万元,对个人和家庭的补助</w:t>
      </w:r>
      <w:r>
        <w:rPr>
          <w:rFonts w:hint="eastAsia" w:ascii="仿宋" w:hAnsi="仿宋" w:eastAsia="仿宋"/>
          <w:kern w:val="0"/>
        </w:rPr>
        <w:t>81.06万元,资本性支出</w:t>
      </w:r>
      <w:r>
        <w:rPr>
          <w:rFonts w:hint="eastAsia" w:ascii="仿宋" w:hAnsi="仿宋" w:eastAsia="仿宋"/>
          <w:kern w:val="0"/>
        </w:rPr>
        <w:t>0</w:t>
      </w:r>
      <w:r>
        <w:rPr>
          <w:rFonts w:hint="eastAsia" w:ascii="仿宋" w:hAnsi="仿宋" w:eastAsia="仿宋"/>
          <w:kern w:val="0"/>
          <w:lang w:val="en-US" w:eastAsia="zh-CN"/>
        </w:rPr>
        <w:t>.00</w:t>
      </w:r>
      <w:r>
        <w:rPr>
          <w:rFonts w:hint="eastAsia" w:ascii="仿宋" w:hAnsi="仿宋" w:eastAsia="仿宋"/>
          <w:kern w:val="0"/>
        </w:rPr>
        <w:t>万元。</w:t>
      </w:r>
      <w:r>
        <w:rPr>
          <w:rFonts w:hint="eastAsia" w:ascii="仿宋" w:hAnsi="仿宋" w:eastAsia="仿宋"/>
          <w:kern w:val="0"/>
        </w:rPr>
        <w:fldChar w:fldCharType="end"/>
      </w:r>
      <w:r>
        <w:rPr>
          <w:rFonts w:hint="eastAsia" w:ascii="仿宋" w:hAnsi="仿宋" w:eastAsia="仿宋"/>
          <w:kern w:val="0"/>
        </w:rPr>
        <w:fldChar w:fldCharType="begin"/>
      </w:r>
      <w:r>
        <w:rPr>
          <w:rFonts w:hint="eastAsia" w:ascii="仿宋" w:hAnsi="仿宋" w:eastAsia="仿宋"/>
          <w:kern w:val="0"/>
        </w:rPr>
        <w:instrText xml:space="preserve">MERGEFIELD ${page400644146.ds215660413_REP_BGT_T_HC1100002019_DXQ02_XMZCQK}</w:instrText>
      </w:r>
      <w:r>
        <w:rPr>
          <w:rFonts w:hint="eastAsia" w:ascii="仿宋" w:hAnsi="仿宋" w:eastAsia="仿宋"/>
          <w:kern w:val="0"/>
        </w:rPr>
        <w:fldChar w:fldCharType="separate"/>
      </w:r>
      <w:r>
        <w:rPr>
          <w:rFonts w:hint="eastAsia" w:ascii="仿宋" w:hAnsi="仿宋" w:eastAsia="仿宋"/>
          <w:kern w:val="0"/>
        </w:rPr>
        <w:t>项目支出</w:t>
      </w:r>
      <w:r>
        <w:rPr>
          <w:rFonts w:hint="eastAsia" w:ascii="仿宋" w:hAnsi="仿宋" w:eastAsia="仿宋"/>
          <w:kern w:val="0"/>
        </w:rPr>
        <w:t>123.42万元,较上年预算安排减少64.7</w:t>
      </w:r>
      <w:r>
        <w:rPr>
          <w:rFonts w:hint="eastAsia" w:ascii="仿宋" w:hAnsi="仿宋" w:eastAsia="仿宋"/>
          <w:kern w:val="0"/>
          <w:lang w:val="en-US" w:eastAsia="zh-CN"/>
        </w:rPr>
        <w:t>0</w:t>
      </w:r>
      <w:r>
        <w:rPr>
          <w:rFonts w:hint="eastAsia" w:ascii="仿宋" w:hAnsi="仿宋" w:eastAsia="仿宋"/>
          <w:kern w:val="0"/>
        </w:rPr>
        <w:t>万元;其中：工资福利支出</w:t>
      </w:r>
      <w:r>
        <w:rPr>
          <w:rFonts w:hint="eastAsia" w:ascii="仿宋" w:hAnsi="仿宋" w:eastAsia="仿宋"/>
          <w:kern w:val="0"/>
        </w:rPr>
        <w:t>0</w:t>
      </w:r>
      <w:r>
        <w:rPr>
          <w:rFonts w:hint="eastAsia" w:ascii="仿宋" w:hAnsi="仿宋" w:eastAsia="仿宋"/>
          <w:kern w:val="0"/>
          <w:lang w:val="en-US" w:eastAsia="zh-CN"/>
        </w:rPr>
        <w:t>.00</w:t>
      </w:r>
      <w:r>
        <w:rPr>
          <w:rFonts w:hint="eastAsia" w:ascii="仿宋" w:hAnsi="仿宋" w:eastAsia="仿宋"/>
          <w:kern w:val="0"/>
        </w:rPr>
        <w:t>万元,商品和服务支出</w:t>
      </w:r>
      <w:r>
        <w:rPr>
          <w:rFonts w:hint="eastAsia" w:ascii="仿宋" w:hAnsi="仿宋" w:eastAsia="仿宋"/>
          <w:kern w:val="0"/>
        </w:rPr>
        <w:t>114.9</w:t>
      </w:r>
      <w:r>
        <w:rPr>
          <w:rFonts w:hint="eastAsia" w:ascii="仿宋" w:hAnsi="仿宋" w:eastAsia="仿宋"/>
          <w:kern w:val="0"/>
          <w:lang w:val="en-US" w:eastAsia="zh-CN"/>
        </w:rPr>
        <w:t>0</w:t>
      </w:r>
      <w:r>
        <w:rPr>
          <w:rFonts w:hint="eastAsia" w:ascii="仿宋" w:hAnsi="仿宋" w:eastAsia="仿宋"/>
          <w:kern w:val="0"/>
        </w:rPr>
        <w:t>万元,对个人和家庭的补助</w:t>
      </w:r>
      <w:r>
        <w:rPr>
          <w:rFonts w:hint="eastAsia" w:ascii="仿宋" w:hAnsi="仿宋" w:eastAsia="仿宋"/>
          <w:kern w:val="0"/>
        </w:rPr>
        <w:t>0</w:t>
      </w:r>
      <w:r>
        <w:rPr>
          <w:rFonts w:hint="eastAsia" w:ascii="仿宋" w:hAnsi="仿宋" w:eastAsia="仿宋"/>
          <w:kern w:val="0"/>
          <w:lang w:val="en-US" w:eastAsia="zh-CN"/>
        </w:rPr>
        <w:t>.00</w:t>
      </w:r>
      <w:r>
        <w:rPr>
          <w:rFonts w:hint="eastAsia" w:ascii="仿宋" w:hAnsi="仿宋" w:eastAsia="仿宋"/>
          <w:kern w:val="0"/>
        </w:rPr>
        <w:t>万元,资本性支出</w:t>
      </w:r>
      <w:r>
        <w:rPr>
          <w:rFonts w:hint="eastAsia" w:ascii="仿宋" w:hAnsi="仿宋" w:eastAsia="仿宋"/>
          <w:kern w:val="0"/>
        </w:rPr>
        <w:t>8.52万元,对企业补助</w:t>
      </w:r>
      <w:r>
        <w:rPr>
          <w:rFonts w:hint="eastAsia" w:ascii="仿宋" w:hAnsi="仿宋" w:eastAsia="仿宋"/>
          <w:kern w:val="0"/>
        </w:rPr>
        <w:t>0</w:t>
      </w:r>
      <w:r>
        <w:rPr>
          <w:rFonts w:hint="eastAsia" w:ascii="仿宋" w:hAnsi="仿宋" w:eastAsia="仿宋"/>
          <w:kern w:val="0"/>
          <w:lang w:val="en-US" w:eastAsia="zh-CN"/>
        </w:rPr>
        <w:t>.00</w:t>
      </w:r>
      <w:r>
        <w:rPr>
          <w:rFonts w:hint="eastAsia" w:ascii="仿宋" w:hAnsi="仿宋" w:eastAsia="仿宋"/>
          <w:kern w:val="0"/>
        </w:rPr>
        <w:t>万元。</w:t>
      </w:r>
      <w:r>
        <w:rPr>
          <w:rFonts w:hint="eastAsia" w:ascii="仿宋" w:hAnsi="仿宋" w:eastAsia="仿宋"/>
          <w:kern w:val="0"/>
        </w:rPr>
        <w:fldChar w:fldCharType="end"/>
      </w:r>
    </w:p>
    <w:p w14:paraId="057F3BA0">
      <w:pPr>
        <w:spacing w:line="560" w:lineRule="exact"/>
        <w:ind w:firstLine="640" w:firstLineChars="200"/>
        <w:rPr>
          <w:rStyle w:val="10"/>
          <w:rFonts w:ascii="仿宋" w:hAnsi="仿宋" w:eastAsia="仿宋"/>
        </w:rPr>
      </w:pPr>
      <w:r>
        <w:rPr>
          <w:rStyle w:val="10"/>
          <w:rFonts w:hint="eastAsia" w:ascii="仿宋" w:hAnsi="仿宋" w:eastAsia="仿宋"/>
        </w:rPr>
        <w:t>按支出功能科目划分：社会保障和就业支出38.16万元,较上年预算安排减少9.19万元;卫生健康支出21.5</w:t>
      </w:r>
      <w:r>
        <w:rPr>
          <w:rStyle w:val="10"/>
          <w:rFonts w:hint="eastAsia" w:ascii="仿宋" w:hAnsi="仿宋" w:eastAsia="仿宋"/>
          <w:lang w:val="en-US" w:eastAsia="zh-CN"/>
        </w:rPr>
        <w:t>0</w:t>
      </w:r>
      <w:r>
        <w:rPr>
          <w:rStyle w:val="10"/>
          <w:rFonts w:hint="eastAsia" w:ascii="仿宋" w:hAnsi="仿宋" w:eastAsia="仿宋"/>
        </w:rPr>
        <w:t>万元,较上年预算安排减少5.03万元;</w:t>
      </w:r>
      <w:r>
        <w:rPr>
          <w:rFonts w:hint="eastAsia"/>
        </w:rPr>
        <w:t xml:space="preserve"> </w:t>
      </w:r>
      <w:r>
        <w:rPr>
          <w:rStyle w:val="10"/>
          <w:rFonts w:hint="eastAsia" w:ascii="仿宋" w:hAnsi="仿宋" w:eastAsia="仿宋"/>
        </w:rPr>
        <w:t>自然资源海洋气象等支出537.63万元,较上年预算安排减少145.6</w:t>
      </w:r>
      <w:r>
        <w:rPr>
          <w:rStyle w:val="10"/>
          <w:rFonts w:hint="eastAsia" w:ascii="仿宋" w:hAnsi="仿宋" w:eastAsia="仿宋"/>
          <w:lang w:val="en-US" w:eastAsia="zh-CN"/>
        </w:rPr>
        <w:t>0</w:t>
      </w:r>
      <w:r>
        <w:rPr>
          <w:rStyle w:val="10"/>
          <w:rFonts w:hint="eastAsia" w:ascii="仿宋" w:hAnsi="仿宋" w:eastAsia="仿宋"/>
        </w:rPr>
        <w:t>万元；住房保障支出28.04万元,较上年预算安排减少8.31万元。</w:t>
      </w:r>
    </w:p>
    <w:p w14:paraId="36C3B6EC">
      <w:pPr>
        <w:spacing w:line="560" w:lineRule="exact"/>
        <w:ind w:firstLine="640" w:firstLineChars="200"/>
        <w:rPr>
          <w:rStyle w:val="10"/>
          <w:rFonts w:ascii="仿宋" w:hAnsi="仿宋" w:eastAsia="仿宋"/>
          <w:b/>
          <w:sz w:val="20"/>
        </w:rPr>
      </w:pPr>
      <w:r>
        <w:rPr>
          <w:rStyle w:val="10"/>
          <w:rFonts w:hint="eastAsia" w:ascii="仿宋" w:hAnsi="仿宋" w:eastAsia="仿宋"/>
        </w:rPr>
        <w:t>按支出经济分类划分：工资福利支出372.23万元,较上年预算安排减少93.68万元;商品和服务支出163.52万元,较上年预算安排减少62.88万元;对个人和家庭的补助81.06万元,较上年预算安排减少0.31万元;资本性支出8.52万元,较上年预算安排减少11.26万元。</w:t>
      </w:r>
    </w:p>
    <w:p w14:paraId="2680B614">
      <w:pPr>
        <w:spacing w:line="560" w:lineRule="exact"/>
        <w:ind w:firstLine="640" w:firstLineChars="200"/>
        <w:rPr>
          <w:rStyle w:val="10"/>
          <w:rFonts w:ascii="楷体_GB2312" w:hAnsi="仿宋" w:eastAsia="楷体_GB2312"/>
        </w:rPr>
      </w:pPr>
      <w:r>
        <w:rPr>
          <w:rStyle w:val="10"/>
          <w:rFonts w:hint="eastAsia" w:ascii="楷体_GB2312" w:hAnsi="仿宋" w:eastAsia="楷体_GB2312"/>
        </w:rPr>
        <w:t>(三)财政拨款支出情况。</w:t>
      </w:r>
    </w:p>
    <w:p w14:paraId="1B6FEF3A">
      <w:pPr>
        <w:spacing w:line="560" w:lineRule="exact"/>
        <w:ind w:firstLine="640" w:firstLineChars="200"/>
        <w:rPr>
          <w:rStyle w:val="10"/>
          <w:rFonts w:ascii="仿宋" w:hAnsi="仿宋" w:eastAsia="仿宋"/>
        </w:rPr>
      </w:pPr>
      <w:r>
        <w:rPr>
          <w:rStyle w:val="10"/>
          <w:rFonts w:hint="eastAsia" w:ascii="仿宋" w:hAnsi="仿宋" w:eastAsia="仿宋"/>
        </w:rPr>
        <w:t>2025年</w:t>
      </w:r>
      <w:r>
        <w:rPr>
          <w:rStyle w:val="10"/>
        </w:rPr>
        <w:fldChar w:fldCharType="begin"/>
      </w:r>
      <w:r>
        <w:rPr>
          <w:rStyle w:val="10"/>
          <w:rFonts w:ascii="仿宋" w:hAnsi="仿宋" w:eastAsia="仿宋"/>
        </w:rPr>
        <w:instrText xml:space="preserve">MERGEFIELD ${page400644146.ds215660413_REP_JXJC_AGENCY_WZR_NAME}</w:instrText>
      </w:r>
      <w:r>
        <w:rPr>
          <w:rStyle w:val="10"/>
        </w:rPr>
        <w:fldChar w:fldCharType="separate"/>
      </w:r>
      <w:r>
        <w:rPr>
          <w:rStyle w:val="10"/>
          <w:rFonts w:ascii="仿宋" w:hAnsi="仿宋" w:eastAsia="仿宋"/>
        </w:rPr>
        <w:t>九江市</w:t>
      </w:r>
      <w:r>
        <w:rPr>
          <w:rStyle w:val="10"/>
          <w:rFonts w:hint="eastAsia" w:ascii="仿宋" w:hAnsi="仿宋" w:eastAsia="仿宋"/>
        </w:rPr>
        <w:t>九江市自然资源局浔阳区</w:t>
      </w:r>
      <w:r>
        <w:rPr>
          <w:rStyle w:val="10"/>
          <w:rFonts w:ascii="仿宋" w:hAnsi="仿宋" w:eastAsia="仿宋"/>
        </w:rPr>
        <w:t>局</w:t>
      </w:r>
      <w:r>
        <w:rPr>
          <w:rFonts w:ascii="仿宋" w:hAnsi="仿宋" w:eastAsia="仿宋"/>
        </w:rPr>
        <w:fldChar w:fldCharType="end"/>
      </w:r>
      <w:r>
        <w:rPr>
          <w:rStyle w:val="10"/>
        </w:rPr>
        <w:fldChar w:fldCharType="begin"/>
      </w:r>
      <w:r>
        <w:rPr>
          <w:rStyle w:val="10"/>
          <w:rFonts w:ascii="仿宋" w:hAnsi="仿宋" w:eastAsia="仿宋"/>
        </w:rPr>
        <w:instrText xml:space="preserve">MERGEFIELD ${page400644146.ds215660413_REP_BGT_T_HC1100002019_DXQ02_S_CBXJ}</w:instrText>
      </w:r>
      <w:r>
        <w:rPr>
          <w:rStyle w:val="10"/>
        </w:rPr>
        <w:fldChar w:fldCharType="separate"/>
      </w:r>
      <w:r>
        <w:rPr>
          <w:rStyle w:val="10"/>
          <w:rFonts w:ascii="仿宋" w:hAnsi="仿宋" w:eastAsia="仿宋"/>
        </w:rPr>
        <w:t>财政拨款支出预算总额</w:t>
      </w:r>
      <w:r>
        <w:rPr>
          <w:rStyle w:val="10"/>
          <w:rFonts w:hint="eastAsia" w:ascii="仿宋" w:hAnsi="仿宋" w:eastAsia="仿宋"/>
        </w:rPr>
        <w:t>625.33</w:t>
      </w:r>
      <w:r>
        <w:rPr>
          <w:rStyle w:val="10"/>
          <w:rFonts w:ascii="仿宋" w:hAnsi="仿宋" w:eastAsia="仿宋"/>
        </w:rPr>
        <w:t>万元,较上年预算安排减少</w:t>
      </w:r>
      <w:r>
        <w:rPr>
          <w:rStyle w:val="10"/>
          <w:rFonts w:hint="eastAsia" w:ascii="仿宋" w:hAnsi="仿宋" w:eastAsia="仿宋"/>
        </w:rPr>
        <w:t>159.13</w:t>
      </w:r>
      <w:r>
        <w:rPr>
          <w:rStyle w:val="10"/>
          <w:rFonts w:ascii="仿宋" w:hAnsi="仿宋" w:eastAsia="仿宋"/>
        </w:rPr>
        <w:t>万元;</w:t>
      </w:r>
      <w:r>
        <w:rPr>
          <w:rFonts w:ascii="仿宋" w:hAnsi="仿宋" w:eastAsia="仿宋"/>
        </w:rPr>
        <w:fldChar w:fldCharType="end"/>
      </w:r>
    </w:p>
    <w:p w14:paraId="640FC7D5">
      <w:pPr>
        <w:spacing w:line="560" w:lineRule="exact"/>
        <w:ind w:firstLine="640" w:firstLineChars="200"/>
        <w:rPr>
          <w:rStyle w:val="10"/>
          <w:rFonts w:ascii="仿宋" w:hAnsi="仿宋" w:eastAsia="仿宋"/>
        </w:rPr>
      </w:pPr>
      <w:r>
        <w:rPr>
          <w:rStyle w:val="10"/>
          <w:rFonts w:hint="eastAsia" w:ascii="仿宋" w:hAnsi="仿宋" w:eastAsia="仿宋"/>
        </w:rPr>
        <w:t>按支出功能科目划分：社会保障和就业支出38.16万元,卫生健康支出21.50万元, 自然资源海洋气象等支出537.63万元，住房保障支出28.04万元。</w:t>
      </w:r>
    </w:p>
    <w:p w14:paraId="30732136">
      <w:pPr>
        <w:spacing w:line="560" w:lineRule="exact"/>
        <w:ind w:firstLine="640" w:firstLineChars="200"/>
        <w:rPr>
          <w:rStyle w:val="10"/>
          <w:rFonts w:ascii="仿宋" w:hAnsi="仿宋" w:eastAsia="仿宋"/>
        </w:rPr>
      </w:pPr>
      <w:r>
        <w:rPr>
          <w:rStyle w:val="10"/>
          <w:rFonts w:hint="eastAsia" w:ascii="仿宋" w:hAnsi="仿宋" w:eastAsia="仿宋"/>
        </w:rPr>
        <w:t>按支出项目类别划分：基本支出501.91万元,较上年预算安排减少94.43万元;其中：工资福利支出372.23万元,商品和服务支出48.62万元,对个人和家庭的补助81.06万元,资本性支出0</w:t>
      </w:r>
      <w:r>
        <w:rPr>
          <w:rStyle w:val="10"/>
          <w:rFonts w:hint="eastAsia" w:ascii="仿宋" w:hAnsi="仿宋" w:eastAsia="仿宋"/>
          <w:lang w:val="en-US" w:eastAsia="zh-CN"/>
        </w:rPr>
        <w:t>.00</w:t>
      </w:r>
      <w:r>
        <w:rPr>
          <w:rStyle w:val="10"/>
          <w:rFonts w:hint="eastAsia" w:ascii="仿宋" w:hAnsi="仿宋" w:eastAsia="仿宋"/>
        </w:rPr>
        <w:t>万元。项目支出123.42万元,较上年预算安排减少64.7</w:t>
      </w:r>
      <w:r>
        <w:rPr>
          <w:rStyle w:val="10"/>
          <w:rFonts w:hint="eastAsia" w:ascii="仿宋" w:hAnsi="仿宋" w:eastAsia="仿宋"/>
          <w:lang w:val="en-US" w:eastAsia="zh-CN"/>
        </w:rPr>
        <w:t>0</w:t>
      </w:r>
      <w:r>
        <w:rPr>
          <w:rStyle w:val="10"/>
          <w:rFonts w:hint="eastAsia" w:ascii="仿宋" w:hAnsi="仿宋" w:eastAsia="仿宋"/>
        </w:rPr>
        <w:t>万元;其中：商品和服务支出114.9</w:t>
      </w:r>
      <w:r>
        <w:rPr>
          <w:rStyle w:val="10"/>
          <w:rFonts w:hint="eastAsia" w:ascii="仿宋" w:hAnsi="仿宋" w:eastAsia="仿宋"/>
          <w:lang w:val="en-US" w:eastAsia="zh-CN"/>
        </w:rPr>
        <w:t>0</w:t>
      </w:r>
      <w:r>
        <w:rPr>
          <w:rStyle w:val="10"/>
          <w:rFonts w:hint="eastAsia" w:ascii="仿宋" w:hAnsi="仿宋" w:eastAsia="仿宋"/>
        </w:rPr>
        <w:t>万元,对个人和家庭的补助0</w:t>
      </w:r>
      <w:r>
        <w:rPr>
          <w:rStyle w:val="10"/>
          <w:rFonts w:hint="eastAsia" w:ascii="仿宋" w:hAnsi="仿宋" w:eastAsia="仿宋"/>
          <w:lang w:val="en-US" w:eastAsia="zh-CN"/>
        </w:rPr>
        <w:t>.00</w:t>
      </w:r>
      <w:r>
        <w:rPr>
          <w:rStyle w:val="10"/>
          <w:rFonts w:hint="eastAsia" w:ascii="仿宋" w:hAnsi="仿宋" w:eastAsia="仿宋"/>
        </w:rPr>
        <w:t>万元,资本性支出8.52万元。</w:t>
      </w:r>
    </w:p>
    <w:p w14:paraId="24DE0DF3">
      <w:pPr>
        <w:spacing w:line="560" w:lineRule="exact"/>
        <w:ind w:firstLine="640" w:firstLineChars="200"/>
        <w:rPr>
          <w:rStyle w:val="10"/>
          <w:rFonts w:ascii="楷体_GB2312" w:hAnsi="仿宋" w:eastAsia="楷体_GB2312"/>
        </w:rPr>
      </w:pPr>
      <w:r>
        <w:rPr>
          <w:rStyle w:val="10"/>
          <w:rFonts w:hint="eastAsia" w:ascii="楷体_GB2312" w:hAnsi="仿宋" w:eastAsia="楷体_GB2312"/>
        </w:rPr>
        <w:t>(四)政府性基金情况。</w:t>
      </w:r>
    </w:p>
    <w:p w14:paraId="586541F4">
      <w:pPr>
        <w:spacing w:line="560" w:lineRule="exact"/>
        <w:ind w:firstLine="640" w:firstLineChars="200"/>
        <w:rPr>
          <w:rStyle w:val="10"/>
          <w:rFonts w:ascii="仿宋" w:hAnsi="仿宋" w:eastAsia="仿宋"/>
        </w:rPr>
      </w:pPr>
      <w:r>
        <w:rPr>
          <w:rStyle w:val="10"/>
          <w:rFonts w:hint="eastAsia" w:ascii="仿宋" w:hAnsi="仿宋" w:eastAsia="仿宋"/>
        </w:rPr>
        <w:t>2025年</w:t>
      </w:r>
      <w:r>
        <w:rPr>
          <w:rStyle w:val="10"/>
        </w:rPr>
        <w:fldChar w:fldCharType="begin"/>
      </w:r>
      <w:r>
        <w:rPr>
          <w:rStyle w:val="10"/>
          <w:rFonts w:ascii="仿宋" w:hAnsi="仿宋" w:eastAsia="仿宋"/>
        </w:rPr>
        <w:instrText xml:space="preserve">MERGEFIELD ${page400644146.ds509943833_REP_JXJC_AGENCY_WZR_NAME}</w:instrText>
      </w:r>
      <w:r>
        <w:rPr>
          <w:rStyle w:val="10"/>
        </w:rPr>
        <w:fldChar w:fldCharType="separate"/>
      </w:r>
      <w:r>
        <w:rPr>
          <w:rStyle w:val="10"/>
          <w:rFonts w:ascii="仿宋" w:hAnsi="仿宋" w:eastAsia="仿宋"/>
        </w:rPr>
        <w:t>九江市</w:t>
      </w:r>
      <w:r>
        <w:rPr>
          <w:rStyle w:val="10"/>
          <w:rFonts w:hint="eastAsia" w:ascii="仿宋" w:hAnsi="仿宋" w:eastAsia="仿宋"/>
        </w:rPr>
        <w:t>自然资源局浔阳区分</w:t>
      </w:r>
      <w:r>
        <w:rPr>
          <w:rStyle w:val="10"/>
          <w:rFonts w:ascii="仿宋" w:hAnsi="仿宋" w:eastAsia="仿宋"/>
        </w:rPr>
        <w:t>局</w:t>
      </w:r>
      <w:r>
        <w:rPr>
          <w:rFonts w:ascii="仿宋" w:hAnsi="仿宋" w:eastAsia="仿宋"/>
        </w:rPr>
        <w:fldChar w:fldCharType="end"/>
      </w:r>
      <w:r>
        <w:rPr>
          <w:rStyle w:val="10"/>
          <w:rFonts w:ascii="仿宋" w:hAnsi="仿宋" w:eastAsia="仿宋"/>
        </w:rPr>
        <w:t>政府性基金支出预算</w:t>
      </w:r>
      <w:r>
        <w:rPr>
          <w:rStyle w:val="10"/>
          <w:rFonts w:hint="eastAsia" w:ascii="仿宋" w:hAnsi="仿宋" w:eastAsia="仿宋"/>
        </w:rPr>
        <w:t>为0</w:t>
      </w:r>
      <w:r>
        <w:rPr>
          <w:rStyle w:val="10"/>
          <w:rFonts w:hint="eastAsia" w:ascii="仿宋" w:hAnsi="仿宋" w:eastAsia="仿宋"/>
          <w:lang w:val="en-US" w:eastAsia="zh-CN"/>
        </w:rPr>
        <w:t>.00</w:t>
      </w:r>
      <w:r>
        <w:rPr>
          <w:rStyle w:val="10"/>
          <w:rFonts w:hint="eastAsia" w:ascii="仿宋" w:hAnsi="仿宋" w:eastAsia="仿宋"/>
        </w:rPr>
        <w:t>万元，没有使用政府性基金预算拨款安排的支出。</w:t>
      </w:r>
      <w:r>
        <w:rPr>
          <w:rStyle w:val="10"/>
          <w:rFonts w:ascii="仿宋" w:hAnsi="仿宋" w:eastAsia="仿宋"/>
        </w:rPr>
        <w:fldChar w:fldCharType="begin"/>
      </w:r>
      <w:r>
        <w:rPr>
          <w:rStyle w:val="10"/>
          <w:rFonts w:ascii="仿宋" w:hAnsi="仿宋" w:eastAsia="仿宋"/>
        </w:rPr>
        <w:instrText xml:space="preserve">MERGEFIELD ${page400644146.ds215660413_REP_BGT_T_HC1100002019_DXQ02_S_ZFXJJ}</w:instrText>
      </w:r>
      <w:r>
        <w:rPr>
          <w:rStyle w:val="10"/>
          <w:rFonts w:ascii="仿宋" w:hAnsi="仿宋" w:eastAsia="仿宋"/>
        </w:rPr>
        <w:fldChar w:fldCharType="end"/>
      </w:r>
    </w:p>
    <w:p w14:paraId="7E02B9F9">
      <w:pPr>
        <w:spacing w:line="560" w:lineRule="exact"/>
        <w:ind w:firstLine="640" w:firstLineChars="200"/>
        <w:rPr>
          <w:rStyle w:val="10"/>
          <w:rFonts w:ascii="楷体_GB2312" w:hAnsi="仿宋" w:eastAsia="楷体_GB2312"/>
        </w:rPr>
      </w:pPr>
      <w:r>
        <w:rPr>
          <w:rStyle w:val="10"/>
          <w:rFonts w:hint="eastAsia" w:ascii="楷体_GB2312" w:hAnsi="仿宋" w:eastAsia="楷体_GB2312"/>
        </w:rPr>
        <w:t xml:space="preserve"> (五)国有资本经营情况。</w:t>
      </w:r>
    </w:p>
    <w:p w14:paraId="6E9A2127">
      <w:pPr>
        <w:spacing w:line="560" w:lineRule="exact"/>
        <w:ind w:firstLine="640" w:firstLineChars="200"/>
        <w:rPr>
          <w:rStyle w:val="10"/>
          <w:rFonts w:ascii="仿宋" w:hAnsi="仿宋" w:eastAsia="仿宋"/>
        </w:rPr>
      </w:pPr>
      <w:r>
        <w:rPr>
          <w:rStyle w:val="10"/>
          <w:rFonts w:hint="eastAsia" w:ascii="仿宋" w:hAnsi="仿宋" w:eastAsia="仿宋"/>
        </w:rPr>
        <w:t>2025年</w:t>
      </w:r>
      <w:r>
        <w:rPr>
          <w:rStyle w:val="10"/>
        </w:rPr>
        <w:fldChar w:fldCharType="begin"/>
      </w:r>
      <w:r>
        <w:rPr>
          <w:rStyle w:val="10"/>
          <w:rFonts w:ascii="仿宋" w:hAnsi="仿宋" w:eastAsia="仿宋"/>
        </w:rPr>
        <w:instrText xml:space="preserve">MERGEFIELD ${page400644146.ds509943833_REP_JXJC_AGENCY_WZR_NAME}</w:instrText>
      </w:r>
      <w:r>
        <w:rPr>
          <w:rStyle w:val="10"/>
        </w:rPr>
        <w:fldChar w:fldCharType="separate"/>
      </w:r>
      <w:r>
        <w:rPr>
          <w:rStyle w:val="10"/>
          <w:rFonts w:ascii="仿宋" w:hAnsi="仿宋" w:eastAsia="仿宋"/>
        </w:rPr>
        <w:t>九江市</w:t>
      </w:r>
      <w:r>
        <w:rPr>
          <w:rStyle w:val="10"/>
          <w:rFonts w:hint="eastAsia" w:ascii="仿宋" w:hAnsi="仿宋" w:eastAsia="仿宋"/>
        </w:rPr>
        <w:t>自然资源局浔阳区分</w:t>
      </w:r>
      <w:r>
        <w:rPr>
          <w:rStyle w:val="10"/>
          <w:rFonts w:ascii="仿宋" w:hAnsi="仿宋" w:eastAsia="仿宋"/>
        </w:rPr>
        <w:t>局</w:t>
      </w:r>
      <w:r>
        <w:rPr>
          <w:rFonts w:ascii="仿宋" w:hAnsi="仿宋" w:eastAsia="仿宋"/>
        </w:rPr>
        <w:fldChar w:fldCharType="end"/>
      </w:r>
      <w:r>
        <w:rPr>
          <w:rStyle w:val="10"/>
          <w:rFonts w:hint="eastAsia" w:ascii="仿宋" w:hAnsi="仿宋" w:eastAsia="仿宋"/>
        </w:rPr>
        <w:t>国有资本经营</w:t>
      </w:r>
      <w:r>
        <w:rPr>
          <w:rStyle w:val="10"/>
          <w:rFonts w:ascii="仿宋" w:hAnsi="仿宋" w:eastAsia="仿宋"/>
        </w:rPr>
        <w:t>支出预算</w:t>
      </w:r>
      <w:r>
        <w:rPr>
          <w:rStyle w:val="10"/>
          <w:rFonts w:hint="eastAsia" w:ascii="仿宋" w:hAnsi="仿宋" w:eastAsia="仿宋"/>
        </w:rPr>
        <w:t>为0</w:t>
      </w:r>
      <w:r>
        <w:rPr>
          <w:rStyle w:val="10"/>
          <w:rFonts w:hint="eastAsia" w:ascii="仿宋" w:hAnsi="仿宋" w:eastAsia="仿宋"/>
          <w:lang w:val="en-US" w:eastAsia="zh-CN"/>
        </w:rPr>
        <w:t>.00</w:t>
      </w:r>
      <w:r>
        <w:rPr>
          <w:rStyle w:val="10"/>
          <w:rFonts w:hint="eastAsia" w:ascii="仿宋" w:hAnsi="仿宋" w:eastAsia="仿宋"/>
        </w:rPr>
        <w:t>万元，没有使用国有资本经营预算拨款安排的支出。</w:t>
      </w:r>
      <w:r>
        <w:rPr>
          <w:rStyle w:val="10"/>
          <w:rFonts w:ascii="仿宋" w:hAnsi="仿宋" w:eastAsia="仿宋"/>
        </w:rPr>
        <w:fldChar w:fldCharType="begin"/>
      </w:r>
      <w:r>
        <w:rPr>
          <w:rStyle w:val="10"/>
          <w:rFonts w:ascii="仿宋" w:hAnsi="仿宋" w:eastAsia="仿宋"/>
        </w:rPr>
        <w:instrText xml:space="preserve">MERGEFIELD ${page400644146.ds215660413_REP_BGT_T_HC1100002019_DXQ02_S_AMTGYZBJYYSZJ}</w:instrText>
      </w:r>
      <w:r>
        <w:rPr>
          <w:rStyle w:val="10"/>
          <w:rFonts w:ascii="仿宋" w:hAnsi="仿宋" w:eastAsia="仿宋"/>
        </w:rPr>
        <w:fldChar w:fldCharType="end"/>
      </w:r>
    </w:p>
    <w:p w14:paraId="18ED6137">
      <w:pPr>
        <w:spacing w:line="560" w:lineRule="exact"/>
        <w:ind w:firstLine="640" w:firstLineChars="200"/>
        <w:rPr>
          <w:rStyle w:val="10"/>
          <w:rFonts w:ascii="楷体_GB2312" w:hAnsi="仿宋" w:eastAsia="楷体_GB2312"/>
        </w:rPr>
      </w:pPr>
      <w:r>
        <w:rPr>
          <w:rStyle w:val="10"/>
          <w:rFonts w:hint="eastAsia" w:ascii="楷体_GB2312" w:hAnsi="仿宋" w:eastAsia="楷体_GB2312"/>
        </w:rPr>
        <w:t xml:space="preserve"> (六)机关运行经费等重要事项的说明。</w:t>
      </w:r>
    </w:p>
    <w:p w14:paraId="60829752">
      <w:pPr>
        <w:widowControl/>
        <w:spacing w:line="560" w:lineRule="exact"/>
        <w:ind w:firstLine="640" w:firstLineChars="200"/>
        <w:rPr>
          <w:rFonts w:hint="eastAsia" w:ascii="仿宋" w:hAnsi="仿宋" w:eastAsia="仿宋"/>
        </w:rPr>
      </w:pPr>
      <w:r>
        <w:rPr>
          <w:rStyle w:val="10"/>
          <w:rFonts w:hint="eastAsia" w:ascii="仿宋" w:hAnsi="仿宋" w:eastAsia="仿宋"/>
        </w:rPr>
        <w:t>2025年</w:t>
      </w:r>
      <w:r>
        <w:rPr>
          <w:rFonts w:hint="eastAsia" w:ascii="仿宋" w:hAnsi="仿宋" w:eastAsia="仿宋"/>
        </w:rPr>
        <w:t>单位机关运行费预算48.62万元，比202</w:t>
      </w:r>
      <w:r>
        <w:rPr>
          <w:rFonts w:ascii="仿宋" w:hAnsi="仿宋" w:eastAsia="仿宋"/>
        </w:rPr>
        <w:t>4</w:t>
      </w:r>
      <w:r>
        <w:rPr>
          <w:rFonts w:hint="eastAsia" w:ascii="仿宋" w:hAnsi="仿宋" w:eastAsia="仿宋"/>
        </w:rPr>
        <w:t>年预算减少9.44万元，下降16.26%。主要</w:t>
      </w:r>
      <w:bookmarkStart w:id="0" w:name="_GoBack"/>
      <w:bookmarkEnd w:id="0"/>
      <w:r>
        <w:rPr>
          <w:rFonts w:hint="eastAsia" w:ascii="仿宋" w:hAnsi="仿宋" w:eastAsia="仿宋"/>
        </w:rPr>
        <w:t>原因是：严格贯彻落实过紧日子要求，进一步压减一般性支出。</w:t>
      </w:r>
    </w:p>
    <w:p w14:paraId="50A44329">
      <w:pPr>
        <w:widowControl/>
        <w:spacing w:line="560" w:lineRule="exact"/>
        <w:ind w:firstLine="640" w:firstLineChars="200"/>
        <w:rPr>
          <w:rFonts w:ascii="仿宋" w:hAnsi="仿宋" w:eastAsia="仿宋"/>
        </w:rPr>
      </w:pPr>
      <w:r>
        <w:rPr>
          <w:rFonts w:hint="eastAsia" w:ascii="仿宋" w:hAnsi="仿宋" w:eastAsia="仿宋"/>
        </w:rPr>
        <w:t>其中：办公费6</w:t>
      </w:r>
      <w:r>
        <w:rPr>
          <w:rFonts w:hint="eastAsia" w:ascii="仿宋" w:hAnsi="仿宋" w:eastAsia="仿宋"/>
          <w:lang w:val="en-US" w:eastAsia="zh-CN"/>
        </w:rPr>
        <w:t>.00</w:t>
      </w:r>
      <w:r>
        <w:rPr>
          <w:rFonts w:hint="eastAsia" w:ascii="仿宋" w:hAnsi="仿宋" w:eastAsia="仿宋"/>
        </w:rPr>
        <w:t>万元、水费0.2</w:t>
      </w:r>
      <w:r>
        <w:rPr>
          <w:rFonts w:hint="eastAsia" w:ascii="仿宋" w:hAnsi="仿宋" w:eastAsia="仿宋"/>
          <w:lang w:val="en-US" w:eastAsia="zh-CN"/>
        </w:rPr>
        <w:t>0</w:t>
      </w:r>
      <w:r>
        <w:rPr>
          <w:rFonts w:hint="eastAsia" w:ascii="仿宋" w:hAnsi="仿宋" w:eastAsia="仿宋"/>
        </w:rPr>
        <w:t>万元、电费6.5</w:t>
      </w:r>
      <w:r>
        <w:rPr>
          <w:rFonts w:hint="eastAsia" w:ascii="仿宋" w:hAnsi="仿宋" w:eastAsia="仿宋"/>
          <w:lang w:val="en-US" w:eastAsia="zh-CN"/>
        </w:rPr>
        <w:t>0</w:t>
      </w:r>
      <w:r>
        <w:rPr>
          <w:rFonts w:hint="eastAsia" w:ascii="仿宋" w:hAnsi="仿宋" w:eastAsia="仿宋"/>
        </w:rPr>
        <w:t>万元、邮电费4.61万元、差旅费3</w:t>
      </w:r>
      <w:r>
        <w:rPr>
          <w:rFonts w:hint="eastAsia" w:ascii="仿宋" w:hAnsi="仿宋" w:eastAsia="仿宋"/>
          <w:lang w:val="en-US" w:eastAsia="zh-CN"/>
        </w:rPr>
        <w:t>.00</w:t>
      </w:r>
      <w:r>
        <w:rPr>
          <w:rFonts w:hint="eastAsia" w:ascii="仿宋" w:hAnsi="仿宋" w:eastAsia="仿宋"/>
        </w:rPr>
        <w:t>万元、公务接待费2.1</w:t>
      </w:r>
      <w:r>
        <w:rPr>
          <w:rFonts w:hint="eastAsia" w:ascii="仿宋" w:hAnsi="仿宋" w:eastAsia="仿宋"/>
          <w:lang w:val="en-US" w:eastAsia="zh-CN"/>
        </w:rPr>
        <w:t>0</w:t>
      </w:r>
      <w:r>
        <w:rPr>
          <w:rFonts w:hint="eastAsia" w:ascii="仿宋" w:hAnsi="仿宋" w:eastAsia="仿宋"/>
        </w:rPr>
        <w:t>万元、工会经费2.4</w:t>
      </w:r>
      <w:r>
        <w:rPr>
          <w:rFonts w:hint="eastAsia" w:ascii="仿宋" w:hAnsi="仿宋" w:eastAsia="仿宋"/>
          <w:lang w:val="en-US" w:eastAsia="zh-CN"/>
        </w:rPr>
        <w:t>0</w:t>
      </w:r>
      <w:r>
        <w:rPr>
          <w:rFonts w:hint="eastAsia" w:ascii="仿宋" w:hAnsi="仿宋" w:eastAsia="仿宋"/>
        </w:rPr>
        <w:t>万元、福利费8.23万元、公务用车运行维护费2.5</w:t>
      </w:r>
      <w:r>
        <w:rPr>
          <w:rFonts w:hint="eastAsia" w:ascii="仿宋" w:hAnsi="仿宋" w:eastAsia="仿宋"/>
          <w:lang w:val="en-US" w:eastAsia="zh-CN"/>
        </w:rPr>
        <w:t>0</w:t>
      </w:r>
      <w:r>
        <w:rPr>
          <w:rFonts w:hint="eastAsia" w:ascii="仿宋" w:hAnsi="仿宋" w:eastAsia="仿宋"/>
        </w:rPr>
        <w:t>万元、其他交通费7.5</w:t>
      </w:r>
      <w:r>
        <w:rPr>
          <w:rFonts w:hint="eastAsia" w:ascii="仿宋" w:hAnsi="仿宋" w:eastAsia="仿宋"/>
          <w:lang w:val="en-US" w:eastAsia="zh-CN"/>
        </w:rPr>
        <w:t>0</w:t>
      </w:r>
      <w:r>
        <w:rPr>
          <w:rFonts w:hint="eastAsia" w:ascii="仿宋" w:hAnsi="仿宋" w:eastAsia="仿宋"/>
        </w:rPr>
        <w:t>万元、其他商品和服务支出5.58万元。</w:t>
      </w:r>
    </w:p>
    <w:p w14:paraId="235F33B7">
      <w:pPr>
        <w:spacing w:line="560" w:lineRule="exact"/>
        <w:ind w:firstLine="640" w:firstLineChars="200"/>
        <w:rPr>
          <w:rStyle w:val="10"/>
          <w:rFonts w:ascii="楷体_GB2312" w:hAnsi="仿宋" w:eastAsia="楷体_GB2312"/>
        </w:rPr>
      </w:pPr>
      <w:r>
        <w:rPr>
          <w:rStyle w:val="10"/>
          <w:rFonts w:hint="eastAsia" w:ascii="楷体_GB2312" w:hAnsi="仿宋" w:eastAsia="楷体_GB2312"/>
        </w:rPr>
        <w:t xml:space="preserve"> (七)政府采购情况。</w:t>
      </w:r>
    </w:p>
    <w:p w14:paraId="4A2FF5C2">
      <w:pPr>
        <w:widowControl/>
        <w:spacing w:line="560" w:lineRule="exact"/>
        <w:ind w:firstLine="640" w:firstLineChars="200"/>
        <w:rPr>
          <w:rFonts w:ascii="仿宋" w:hAnsi="仿宋" w:eastAsia="仿宋"/>
        </w:rPr>
      </w:pPr>
      <w:r>
        <w:rPr>
          <w:rFonts w:hint="eastAsia" w:ascii="仿宋" w:hAnsi="仿宋" w:eastAsia="仿宋"/>
        </w:rPr>
        <w:t>2025年</w:t>
      </w:r>
      <w:r>
        <w:rPr>
          <w:rStyle w:val="10"/>
          <w:rFonts w:hint="eastAsia" w:ascii="仿宋" w:hAnsi="仿宋" w:eastAsia="仿宋"/>
        </w:rPr>
        <w:t>政府采购总额64.58万元</w:t>
      </w:r>
      <w:r>
        <w:rPr>
          <w:rStyle w:val="10"/>
          <w:rFonts w:ascii="仿宋" w:hAnsi="仿宋" w:eastAsia="仿宋"/>
        </w:rPr>
        <w:t>,</w:t>
      </w:r>
      <w:r>
        <w:rPr>
          <w:rStyle w:val="10"/>
          <w:rFonts w:hint="eastAsia" w:ascii="仿宋" w:hAnsi="仿宋" w:eastAsia="仿宋"/>
        </w:rPr>
        <w:t>其中</w:t>
      </w:r>
      <w:r>
        <w:rPr>
          <w:rStyle w:val="10"/>
          <w:rFonts w:ascii="仿宋" w:hAnsi="仿宋" w:eastAsia="仿宋"/>
        </w:rPr>
        <w:t>:</w:t>
      </w:r>
      <w:r>
        <w:rPr>
          <w:rStyle w:val="10"/>
          <w:rFonts w:hint="eastAsia" w:ascii="仿宋" w:hAnsi="仿宋" w:eastAsia="仿宋"/>
        </w:rPr>
        <w:t xml:space="preserve"> 政府采购货物预算8.52万元</w:t>
      </w:r>
      <w:r>
        <w:rPr>
          <w:rStyle w:val="10"/>
          <w:rFonts w:ascii="仿宋" w:hAnsi="仿宋" w:eastAsia="仿宋"/>
        </w:rPr>
        <w:t>,</w:t>
      </w:r>
      <w:r>
        <w:rPr>
          <w:rStyle w:val="10"/>
          <w:rFonts w:hint="eastAsia" w:ascii="仿宋" w:hAnsi="仿宋" w:eastAsia="仿宋"/>
        </w:rPr>
        <w:t xml:space="preserve"> 政府采购工程预算0</w:t>
      </w:r>
      <w:r>
        <w:rPr>
          <w:rStyle w:val="10"/>
          <w:rFonts w:hint="eastAsia" w:ascii="仿宋" w:hAnsi="仿宋" w:eastAsia="仿宋"/>
          <w:lang w:val="en-US" w:eastAsia="zh-CN"/>
        </w:rPr>
        <w:t>.00</w:t>
      </w:r>
      <w:r>
        <w:rPr>
          <w:rStyle w:val="10"/>
          <w:rFonts w:hint="eastAsia" w:ascii="仿宋" w:hAnsi="仿宋" w:eastAsia="仿宋"/>
        </w:rPr>
        <w:t>万元</w:t>
      </w:r>
      <w:r>
        <w:rPr>
          <w:rStyle w:val="10"/>
          <w:rFonts w:ascii="仿宋" w:hAnsi="仿宋" w:eastAsia="仿宋"/>
        </w:rPr>
        <w:t>,</w:t>
      </w:r>
      <w:r>
        <w:rPr>
          <w:rStyle w:val="10"/>
          <w:rFonts w:hint="eastAsia" w:ascii="仿宋" w:hAnsi="仿宋" w:eastAsia="仿宋"/>
        </w:rPr>
        <w:t xml:space="preserve"> 政府采购服务预算56.06万元。</w:t>
      </w:r>
    </w:p>
    <w:p w14:paraId="36B64C3B">
      <w:pPr>
        <w:spacing w:line="560" w:lineRule="exact"/>
        <w:ind w:firstLine="640" w:firstLineChars="200"/>
        <w:rPr>
          <w:rStyle w:val="10"/>
          <w:rFonts w:ascii="楷体_GB2312" w:hAnsi="仿宋" w:eastAsia="楷体_GB2312"/>
        </w:rPr>
      </w:pPr>
      <w:r>
        <w:rPr>
          <w:rStyle w:val="10"/>
          <w:rFonts w:hint="eastAsia" w:ascii="楷体_GB2312" w:hAnsi="仿宋" w:eastAsia="楷体_GB2312"/>
        </w:rPr>
        <w:t xml:space="preserve"> (八)国有资产占有使用情况。</w:t>
      </w:r>
    </w:p>
    <w:p w14:paraId="5C6BB01D">
      <w:pPr>
        <w:spacing w:line="560" w:lineRule="exact"/>
        <w:ind w:firstLine="640" w:firstLineChars="200"/>
        <w:rPr>
          <w:rFonts w:ascii="仿宋" w:hAnsi="仿宋" w:eastAsia="仿宋"/>
          <w:b/>
        </w:rPr>
      </w:pPr>
      <w:r>
        <w:rPr>
          <w:rFonts w:hint="eastAsia" w:ascii="仿宋" w:hAnsi="仿宋" w:eastAsia="仿宋"/>
        </w:rPr>
        <w:t>截至202</w:t>
      </w:r>
      <w:r>
        <w:rPr>
          <w:rFonts w:ascii="仿宋" w:hAnsi="仿宋" w:eastAsia="仿宋"/>
        </w:rPr>
        <w:t>4</w:t>
      </w:r>
      <w:r>
        <w:rPr>
          <w:rFonts w:hint="eastAsia" w:ascii="仿宋" w:hAnsi="仿宋" w:eastAsia="仿宋"/>
        </w:rPr>
        <w:t>年</w:t>
      </w:r>
      <w:r>
        <w:rPr>
          <w:rFonts w:ascii="仿宋" w:hAnsi="仿宋" w:eastAsia="仿宋"/>
        </w:rPr>
        <w:t>8</w:t>
      </w:r>
      <w:r>
        <w:rPr>
          <w:rFonts w:hint="eastAsia" w:ascii="仿宋" w:hAnsi="仿宋" w:eastAsia="仿宋"/>
        </w:rPr>
        <w:t>月31日,单位共有车辆1辆,其中：一般公务用车实有数1辆,执法执勤用车实有数0辆。</w:t>
      </w:r>
    </w:p>
    <w:p w14:paraId="243642A7">
      <w:pPr>
        <w:spacing w:line="560" w:lineRule="exact"/>
        <w:ind w:firstLine="640" w:firstLineChars="200"/>
        <w:rPr>
          <w:rFonts w:ascii="仿宋" w:hAnsi="仿宋" w:eastAsia="仿宋"/>
          <w:szCs w:val="30"/>
        </w:rPr>
      </w:pPr>
      <w:r>
        <w:rPr>
          <w:rFonts w:hint="eastAsia" w:ascii="仿宋" w:hAnsi="仿宋" w:eastAsia="仿宋"/>
        </w:rPr>
        <w:t>2025年单位预算安排购置车辆0辆，未安排购置单位价值200万元以上大型设备</w:t>
      </w:r>
      <w:r>
        <w:rPr>
          <w:rFonts w:hint="eastAsia" w:ascii="仿宋" w:hAnsi="仿宋" w:eastAsia="仿宋"/>
          <w:szCs w:val="30"/>
        </w:rPr>
        <w:t>。</w:t>
      </w:r>
    </w:p>
    <w:p w14:paraId="3A9E8908">
      <w:pPr>
        <w:spacing w:line="560" w:lineRule="exact"/>
        <w:ind w:firstLine="640" w:firstLineChars="200"/>
        <w:rPr>
          <w:rStyle w:val="10"/>
          <w:rFonts w:ascii="楷体_GB2312" w:eastAsia="楷体_GB2312"/>
        </w:rPr>
      </w:pPr>
      <w:r>
        <w:rPr>
          <w:rStyle w:val="10"/>
          <w:rFonts w:hint="eastAsia" w:ascii="楷体_GB2312" w:hAnsi="仿宋" w:eastAsia="楷体_GB2312"/>
        </w:rPr>
        <w:t xml:space="preserve"> (九)单位事务管理经费项目情况说明。</w:t>
      </w:r>
    </w:p>
    <w:p w14:paraId="23392C45">
      <w:pPr>
        <w:spacing w:line="560" w:lineRule="exact"/>
        <w:ind w:firstLine="640" w:firstLineChars="200"/>
        <w:rPr>
          <w:rFonts w:ascii="仿宋" w:hAnsi="仿宋" w:eastAsia="仿宋"/>
        </w:rPr>
      </w:pPr>
      <w:r>
        <w:rPr>
          <w:rFonts w:hint="eastAsia" w:ascii="仿宋" w:hAnsi="仿宋" w:eastAsia="仿宋"/>
        </w:rPr>
        <w:t>1.单位事务管理经费项目</w:t>
      </w:r>
    </w:p>
    <w:p w14:paraId="26050368">
      <w:pPr>
        <w:spacing w:line="560" w:lineRule="exact"/>
        <w:ind w:firstLine="642"/>
        <w:rPr>
          <w:rFonts w:hint="eastAsia" w:ascii="仿宋" w:hAnsi="仿宋" w:eastAsia="仿宋"/>
        </w:rPr>
      </w:pPr>
      <w:r>
        <w:rPr>
          <w:rFonts w:hint="eastAsia" w:ascii="仿宋" w:hAnsi="仿宋" w:eastAsia="仿宋"/>
        </w:rPr>
        <w:t xml:space="preserve">   1）项目概述</w:t>
      </w:r>
    </w:p>
    <w:p w14:paraId="76A25E71">
      <w:pPr>
        <w:spacing w:line="560" w:lineRule="exact"/>
        <w:ind w:firstLine="642"/>
        <w:rPr>
          <w:rFonts w:ascii="仿宋" w:hAnsi="仿宋" w:eastAsia="仿宋"/>
        </w:rPr>
      </w:pPr>
      <w:r>
        <w:rPr>
          <w:rFonts w:hint="eastAsia" w:ascii="仿宋" w:hAnsi="仿宋" w:eastAsia="仿宋"/>
        </w:rPr>
        <w:t>围绕服务浔阳区经济发展，保证自然资源各项工作顺利开展，强化管理工作力度，充分调动干部职工积极性，保障单位日常工作的正常运转，更好地发挥浔阳区自然资源分局的要素保障作用。</w:t>
      </w:r>
    </w:p>
    <w:p w14:paraId="207FE5C0">
      <w:pPr>
        <w:spacing w:line="560" w:lineRule="exact"/>
        <w:ind w:firstLine="642"/>
        <w:rPr>
          <w:rFonts w:hint="eastAsia" w:ascii="仿宋" w:hAnsi="仿宋" w:eastAsia="仿宋"/>
        </w:rPr>
      </w:pPr>
      <w:r>
        <w:rPr>
          <w:rFonts w:hint="eastAsia" w:ascii="仿宋" w:hAnsi="仿宋" w:eastAsia="仿宋"/>
        </w:rPr>
        <w:t xml:space="preserve">   2）立项依据</w:t>
      </w:r>
    </w:p>
    <w:p w14:paraId="07A1BD8B">
      <w:pPr>
        <w:spacing w:line="560" w:lineRule="exact"/>
        <w:ind w:firstLine="642"/>
        <w:rPr>
          <w:rFonts w:hint="eastAsia" w:ascii="仿宋" w:hAnsi="仿宋" w:eastAsia="仿宋"/>
        </w:rPr>
      </w:pPr>
      <w:r>
        <w:rPr>
          <w:rFonts w:hint="eastAsia" w:ascii="仿宋" w:hAnsi="仿宋" w:eastAsia="仿宋"/>
        </w:rPr>
        <w:t>《关于请求上划九江市自然资源浔阳区分局2025年度县（区）级财政事权支出预算指标的报告》</w:t>
      </w:r>
    </w:p>
    <w:p w14:paraId="7BF55DB5">
      <w:pPr>
        <w:spacing w:line="560" w:lineRule="exact"/>
        <w:ind w:firstLine="642"/>
        <w:rPr>
          <w:rFonts w:hint="eastAsia" w:ascii="仿宋" w:hAnsi="仿宋" w:eastAsia="仿宋"/>
        </w:rPr>
      </w:pPr>
      <w:r>
        <w:rPr>
          <w:rFonts w:hint="eastAsia" w:ascii="仿宋" w:hAnsi="仿宋" w:eastAsia="仿宋"/>
        </w:rPr>
        <w:t>《江西省自然资源厅办公室关于利用2024年卫片监测成果开展日常执法工作的通知》（赣自然资办发〔2024〕16号）</w:t>
      </w:r>
    </w:p>
    <w:p w14:paraId="167C21C0">
      <w:pPr>
        <w:spacing w:line="560" w:lineRule="exact"/>
        <w:ind w:firstLine="642"/>
        <w:rPr>
          <w:rFonts w:ascii="仿宋" w:hAnsi="仿宋" w:eastAsia="仿宋"/>
        </w:rPr>
      </w:pPr>
      <w:r>
        <w:rPr>
          <w:rFonts w:hint="eastAsia" w:ascii="仿宋" w:hAnsi="仿宋" w:eastAsia="仿宋"/>
        </w:rPr>
        <w:t>《江西省自然资源厅办公室关于做好2024年度国土变更调查及日常变更调查工作的通知》（赣自然资办函〔2024〕241号）等有关文件。</w:t>
      </w:r>
    </w:p>
    <w:p w14:paraId="48EE3E5D">
      <w:pPr>
        <w:spacing w:line="560" w:lineRule="exact"/>
        <w:ind w:firstLine="642"/>
        <w:rPr>
          <w:rFonts w:ascii="仿宋" w:hAnsi="仿宋" w:eastAsia="仿宋"/>
        </w:rPr>
      </w:pPr>
      <w:r>
        <w:rPr>
          <w:rFonts w:hint="eastAsia" w:ascii="仿宋" w:hAnsi="仿宋" w:eastAsia="仿宋"/>
        </w:rPr>
        <w:t xml:space="preserve">   3）实施主体：九江市自然资源局浔阳区分局</w:t>
      </w:r>
    </w:p>
    <w:p w14:paraId="43FDF15E">
      <w:pPr>
        <w:spacing w:line="560" w:lineRule="exact"/>
        <w:ind w:firstLine="642"/>
        <w:rPr>
          <w:rFonts w:ascii="仿宋" w:hAnsi="仿宋" w:eastAsia="仿宋"/>
        </w:rPr>
      </w:pPr>
      <w:r>
        <w:rPr>
          <w:rFonts w:hint="eastAsia" w:ascii="仿宋" w:hAnsi="仿宋" w:eastAsia="仿宋"/>
        </w:rPr>
        <w:t xml:space="preserve">   4）实施方案：从严、从紧、从实审核各项支出，区分轻重缓急、优先次序和资金状况统筹安排支出，确保单位正常运转。</w:t>
      </w:r>
    </w:p>
    <w:p w14:paraId="0CA5C796">
      <w:pPr>
        <w:spacing w:line="560" w:lineRule="exact"/>
        <w:ind w:firstLine="642"/>
        <w:rPr>
          <w:rFonts w:ascii="仿宋" w:hAnsi="仿宋" w:eastAsia="仿宋"/>
        </w:rPr>
      </w:pPr>
      <w:r>
        <w:rPr>
          <w:rFonts w:hint="eastAsia" w:ascii="仿宋" w:hAnsi="仿宋" w:eastAsia="仿宋"/>
        </w:rPr>
        <w:t xml:space="preserve">   5）实施周期：2025年度</w:t>
      </w:r>
    </w:p>
    <w:p w14:paraId="63228BF9">
      <w:pPr>
        <w:spacing w:line="560" w:lineRule="exact"/>
        <w:ind w:firstLine="1123" w:firstLineChars="351"/>
        <w:rPr>
          <w:rFonts w:ascii="仿宋" w:hAnsi="仿宋" w:eastAsia="仿宋"/>
        </w:rPr>
      </w:pPr>
      <w:r>
        <w:rPr>
          <w:rFonts w:ascii="仿宋" w:hAnsi="仿宋" w:eastAsia="仿宋"/>
        </w:rPr>
        <w:t>6</w:t>
      </w:r>
      <w:r>
        <w:rPr>
          <w:rFonts w:hint="eastAsia" w:ascii="仿宋" w:hAnsi="仿宋" w:eastAsia="仿宋"/>
        </w:rPr>
        <w:t>）年度预算安排：财政拨款123.42万元</w:t>
      </w:r>
    </w:p>
    <w:p w14:paraId="49F8571C">
      <w:pPr>
        <w:spacing w:line="560" w:lineRule="exact"/>
        <w:ind w:firstLine="642"/>
        <w:rPr>
          <w:rFonts w:hint="eastAsia" w:ascii="仿宋" w:hAnsi="仿宋" w:eastAsia="仿宋"/>
        </w:rPr>
      </w:pPr>
      <w:r>
        <w:rPr>
          <w:rFonts w:hint="eastAsia" w:ascii="仿宋" w:hAnsi="仿宋" w:eastAsia="仿宋"/>
        </w:rPr>
        <w:t xml:space="preserve">   7）绩效目标和指标</w:t>
      </w:r>
    </w:p>
    <w:p w14:paraId="0F9A10B1">
      <w:pPr>
        <w:spacing w:line="240" w:lineRule="auto"/>
        <w:rPr>
          <w:rFonts w:hint="eastAsia" w:ascii="仿宋" w:hAnsi="仿宋" w:eastAsia="仿宋"/>
          <w:lang w:eastAsia="zh-CN"/>
        </w:rPr>
      </w:pPr>
      <w:r>
        <w:rPr>
          <w:rFonts w:hint="eastAsia" w:ascii="仿宋" w:hAnsi="仿宋" w:eastAsia="仿宋"/>
          <w:lang w:eastAsia="zh-CN"/>
        </w:rPr>
        <w:drawing>
          <wp:inline distT="0" distB="0" distL="114300" distR="114300">
            <wp:extent cx="5612765" cy="6715125"/>
            <wp:effectExtent l="0" t="0" r="6985" b="9525"/>
            <wp:docPr id="1" name="图片 1" descr="项目支出绩效目标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支出绩效目标表"/>
                    <pic:cNvPicPr>
                      <a:picLocks noChangeAspect="1"/>
                    </pic:cNvPicPr>
                  </pic:nvPicPr>
                  <pic:blipFill>
                    <a:blip r:embed="rId5"/>
                    <a:stretch>
                      <a:fillRect/>
                    </a:stretch>
                  </pic:blipFill>
                  <pic:spPr>
                    <a:xfrm>
                      <a:off x="0" y="0"/>
                      <a:ext cx="5612765" cy="6715125"/>
                    </a:xfrm>
                    <a:prstGeom prst="rect">
                      <a:avLst/>
                    </a:prstGeom>
                  </pic:spPr>
                </pic:pic>
              </a:graphicData>
            </a:graphic>
          </wp:inline>
        </w:drawing>
      </w:r>
    </w:p>
    <w:p w14:paraId="2B0C696E">
      <w:pPr>
        <w:widowControl/>
        <w:spacing w:line="560" w:lineRule="exact"/>
        <w:ind w:firstLine="640" w:firstLineChars="200"/>
        <w:jc w:val="left"/>
        <w:rPr>
          <w:rFonts w:ascii="黑体" w:hAnsi="黑体" w:eastAsia="黑体"/>
          <w:szCs w:val="30"/>
        </w:rPr>
      </w:pPr>
      <w:r>
        <w:rPr>
          <w:rFonts w:hint="eastAsia" w:ascii="黑体" w:hAnsi="黑体" w:eastAsia="黑体"/>
          <w:szCs w:val="30"/>
        </w:rPr>
        <w:t>二、2025年“三公</w:t>
      </w:r>
      <w:r>
        <w:rPr>
          <w:rFonts w:ascii="黑体" w:hAnsi="黑体" w:eastAsia="黑体"/>
          <w:szCs w:val="30"/>
        </w:rPr>
        <w:t>”</w:t>
      </w:r>
      <w:r>
        <w:rPr>
          <w:rFonts w:hint="eastAsia" w:ascii="黑体" w:hAnsi="黑体" w:eastAsia="黑体"/>
          <w:szCs w:val="30"/>
        </w:rPr>
        <w:t>经费预算情况说明</w:t>
      </w:r>
    </w:p>
    <w:p w14:paraId="74E60E47">
      <w:pPr>
        <w:spacing w:line="560" w:lineRule="exact"/>
        <w:ind w:firstLine="640" w:firstLineChars="200"/>
        <w:jc w:val="left"/>
        <w:rPr>
          <w:rFonts w:ascii="仿宋" w:hAnsi="仿宋" w:eastAsia="仿宋"/>
          <w:bCs/>
        </w:rPr>
      </w:pPr>
      <w:r>
        <w:rPr>
          <w:rFonts w:hint="eastAsia" w:ascii="仿宋" w:hAnsi="仿宋" w:eastAsia="仿宋"/>
          <w:bCs/>
        </w:rPr>
        <w:t>2025年</w:t>
      </w:r>
      <w:r>
        <w:rPr>
          <w:rFonts w:ascii="仿宋" w:hAnsi="仿宋" w:eastAsia="仿宋"/>
          <w:bCs/>
        </w:rPr>
        <w:fldChar w:fldCharType="begin"/>
      </w:r>
      <w:r>
        <w:rPr>
          <w:rFonts w:ascii="仿宋" w:hAnsi="仿宋" w:eastAsia="仿宋"/>
          <w:bCs/>
        </w:rPr>
        <w:instrText xml:space="preserve">MERGEFIELD ${page400644146.ds215660413_REP_JXJC_AGENCY_WZR_NAME}</w:instrText>
      </w:r>
      <w:r>
        <w:rPr>
          <w:rFonts w:ascii="仿宋" w:hAnsi="仿宋" w:eastAsia="仿宋"/>
          <w:bCs/>
        </w:rPr>
        <w:fldChar w:fldCharType="separate"/>
      </w:r>
      <w:r>
        <w:rPr>
          <w:rFonts w:ascii="仿宋" w:hAnsi="仿宋" w:eastAsia="仿宋"/>
          <w:bCs/>
        </w:rPr>
        <w:t>九江市</w:t>
      </w:r>
      <w:r>
        <w:rPr>
          <w:rFonts w:hint="eastAsia" w:ascii="仿宋" w:hAnsi="仿宋" w:eastAsia="仿宋"/>
          <w:bCs/>
        </w:rPr>
        <w:t>自然资源局浔阳区分</w:t>
      </w:r>
      <w:r>
        <w:rPr>
          <w:rFonts w:ascii="仿宋" w:hAnsi="仿宋" w:eastAsia="仿宋"/>
          <w:bCs/>
        </w:rPr>
        <w:t>局</w:t>
      </w:r>
      <w:r>
        <w:rPr>
          <w:rFonts w:ascii="仿宋" w:hAnsi="仿宋" w:eastAsia="仿宋"/>
        </w:rPr>
        <w:fldChar w:fldCharType="end"/>
      </w:r>
      <w:r>
        <w:rPr>
          <w:rFonts w:ascii="仿宋" w:hAnsi="仿宋" w:eastAsia="仿宋"/>
          <w:bCs/>
        </w:rPr>
        <w:t>"</w:t>
      </w:r>
      <w:r>
        <w:rPr>
          <w:rFonts w:hint="eastAsia" w:ascii="仿宋" w:hAnsi="仿宋" w:eastAsia="仿宋"/>
          <w:bCs/>
        </w:rPr>
        <w:t>三公</w:t>
      </w:r>
      <w:r>
        <w:rPr>
          <w:rFonts w:ascii="仿宋" w:hAnsi="仿宋" w:eastAsia="仿宋"/>
          <w:bCs/>
        </w:rPr>
        <w:t>"</w:t>
      </w:r>
      <w:r>
        <w:rPr>
          <w:rFonts w:hint="eastAsia" w:ascii="仿宋" w:hAnsi="仿宋" w:eastAsia="仿宋"/>
          <w:bCs/>
        </w:rPr>
        <w:t>经费财政拨款安排4.6</w:t>
      </w:r>
      <w:r>
        <w:rPr>
          <w:rFonts w:hint="eastAsia" w:ascii="仿宋" w:hAnsi="仿宋" w:eastAsia="仿宋"/>
          <w:bCs/>
          <w:lang w:val="en-US" w:eastAsia="zh-CN"/>
        </w:rPr>
        <w:t>0</w:t>
      </w:r>
      <w:r>
        <w:rPr>
          <w:rFonts w:hint="eastAsia" w:ascii="仿宋" w:hAnsi="仿宋" w:eastAsia="仿宋"/>
          <w:bCs/>
        </w:rPr>
        <w:t>万元，其中：</w:t>
      </w:r>
    </w:p>
    <w:p w14:paraId="1435F7E6">
      <w:pPr>
        <w:spacing w:line="560" w:lineRule="exact"/>
        <w:ind w:firstLine="640" w:firstLineChars="200"/>
        <w:jc w:val="left"/>
        <w:rPr>
          <w:rFonts w:ascii="仿宋" w:hAnsi="仿宋" w:eastAsia="仿宋"/>
          <w:bCs/>
        </w:rPr>
      </w:pPr>
      <w:r>
        <w:rPr>
          <w:rFonts w:ascii="仿宋" w:hAnsi="仿宋" w:eastAsia="仿宋"/>
          <w:bCs/>
        </w:rPr>
        <w:t>因公出国</w:t>
      </w:r>
      <w:r>
        <w:rPr>
          <w:rFonts w:hint="eastAsia" w:ascii="仿宋" w:hAnsi="仿宋" w:eastAsia="仿宋"/>
          <w:bCs/>
        </w:rPr>
        <w:t>0</w:t>
      </w:r>
      <w:r>
        <w:rPr>
          <w:rFonts w:hint="eastAsia" w:ascii="仿宋" w:hAnsi="仿宋" w:eastAsia="仿宋"/>
          <w:bCs/>
          <w:lang w:val="en-US" w:eastAsia="zh-CN"/>
        </w:rPr>
        <w:t>.00</w:t>
      </w:r>
      <w:r>
        <w:rPr>
          <w:rFonts w:ascii="仿宋" w:hAnsi="仿宋" w:eastAsia="仿宋"/>
          <w:bCs/>
        </w:rPr>
        <w:t>万元,比上年增（减）</w:t>
      </w:r>
      <w:r>
        <w:rPr>
          <w:rFonts w:hint="eastAsia" w:ascii="仿宋" w:hAnsi="仿宋" w:eastAsia="仿宋"/>
          <w:bCs/>
        </w:rPr>
        <w:t>0</w:t>
      </w:r>
      <w:r>
        <w:rPr>
          <w:rFonts w:hint="eastAsia" w:ascii="仿宋" w:hAnsi="仿宋" w:eastAsia="仿宋"/>
          <w:bCs/>
          <w:lang w:val="en-US" w:eastAsia="zh-CN"/>
        </w:rPr>
        <w:t>.00</w:t>
      </w:r>
      <w:r>
        <w:rPr>
          <w:rFonts w:ascii="仿宋" w:hAnsi="仿宋" w:eastAsia="仿宋"/>
          <w:bCs/>
        </w:rPr>
        <w:t>万元，主要原因是：</w:t>
      </w:r>
      <w:r>
        <w:rPr>
          <w:rFonts w:hint="eastAsia" w:ascii="仿宋" w:hAnsi="仿宋" w:eastAsia="仿宋"/>
          <w:bCs/>
        </w:rPr>
        <w:t>近几年都未发生因公出国(境)的费用支出，且截止2024年8月31日，暂未收到因公出国(境)的工作安排，故因公出国(境)费用继续维持0</w:t>
      </w:r>
      <w:r>
        <w:rPr>
          <w:rFonts w:hint="eastAsia" w:ascii="仿宋" w:hAnsi="仿宋" w:eastAsia="仿宋"/>
          <w:bCs/>
          <w:lang w:val="en-US" w:eastAsia="zh-CN"/>
        </w:rPr>
        <w:t>.00</w:t>
      </w:r>
      <w:r>
        <w:rPr>
          <w:rFonts w:hint="eastAsia" w:ascii="仿宋" w:hAnsi="仿宋" w:eastAsia="仿宋"/>
          <w:bCs/>
        </w:rPr>
        <w:t>万元，主要原因是：与上年安排保持一致，待有实际工作安排时，按程序审批，调整工作经费</w:t>
      </w:r>
      <w:r>
        <w:rPr>
          <w:rFonts w:ascii="仿宋" w:hAnsi="仿宋" w:eastAsia="仿宋"/>
          <w:bCs/>
        </w:rPr>
        <w:t>。</w:t>
      </w:r>
    </w:p>
    <w:p w14:paraId="7FCA2703">
      <w:pPr>
        <w:spacing w:line="560" w:lineRule="exact"/>
        <w:ind w:firstLine="640" w:firstLineChars="200"/>
        <w:jc w:val="left"/>
        <w:rPr>
          <w:rFonts w:ascii="仿宋" w:hAnsi="仿宋" w:eastAsia="仿宋"/>
          <w:bCs/>
        </w:rPr>
      </w:pPr>
      <w:r>
        <w:rPr>
          <w:rFonts w:ascii="仿宋" w:hAnsi="仿宋" w:eastAsia="仿宋"/>
          <w:bCs/>
        </w:rPr>
        <w:t>公务接待</w:t>
      </w:r>
      <w:r>
        <w:rPr>
          <w:rFonts w:hint="eastAsia" w:ascii="仿宋" w:hAnsi="仿宋" w:eastAsia="仿宋"/>
          <w:bCs/>
        </w:rPr>
        <w:t>2.1</w:t>
      </w:r>
      <w:r>
        <w:rPr>
          <w:rFonts w:hint="eastAsia" w:ascii="仿宋" w:hAnsi="仿宋" w:eastAsia="仿宋"/>
          <w:bCs/>
          <w:lang w:val="en-US" w:eastAsia="zh-CN"/>
        </w:rPr>
        <w:t>0</w:t>
      </w:r>
      <w:r>
        <w:rPr>
          <w:rFonts w:ascii="仿宋" w:hAnsi="仿宋" w:eastAsia="仿宋"/>
          <w:bCs/>
        </w:rPr>
        <w:t>万元,比上年减</w:t>
      </w:r>
      <w:r>
        <w:rPr>
          <w:rFonts w:hint="eastAsia" w:ascii="仿宋" w:hAnsi="仿宋" w:eastAsia="仿宋"/>
          <w:bCs/>
        </w:rPr>
        <w:t>少0.45</w:t>
      </w:r>
      <w:r>
        <w:rPr>
          <w:rFonts w:ascii="仿宋" w:hAnsi="仿宋" w:eastAsia="仿宋"/>
          <w:bCs/>
        </w:rPr>
        <w:t>万元，主要原因是：</w:t>
      </w:r>
      <w:r>
        <w:rPr>
          <w:rFonts w:hint="eastAsia" w:ascii="仿宋" w:hAnsi="仿宋" w:eastAsia="仿宋"/>
          <w:bCs/>
        </w:rPr>
        <w:t>牢固树立“过紧日子”思想，在保障单位正常运转前提下，持续压减一般性开支，确保公务接待费呈现逐年下降态势</w:t>
      </w:r>
      <w:r>
        <w:rPr>
          <w:rFonts w:ascii="仿宋" w:hAnsi="仿宋" w:eastAsia="仿宋"/>
          <w:bCs/>
        </w:rPr>
        <w:t>。</w:t>
      </w:r>
    </w:p>
    <w:p w14:paraId="192CD3DF">
      <w:pPr>
        <w:spacing w:line="560" w:lineRule="exact"/>
        <w:ind w:firstLine="640" w:firstLineChars="200"/>
        <w:jc w:val="left"/>
        <w:rPr>
          <w:rFonts w:ascii="仿宋" w:hAnsi="仿宋" w:eastAsia="仿宋"/>
          <w:bCs/>
        </w:rPr>
      </w:pPr>
      <w:r>
        <w:rPr>
          <w:rFonts w:ascii="仿宋" w:hAnsi="仿宋" w:eastAsia="仿宋"/>
          <w:bCs/>
        </w:rPr>
        <w:t>公务用车运行</w:t>
      </w:r>
      <w:r>
        <w:rPr>
          <w:rFonts w:hint="eastAsia" w:ascii="仿宋" w:hAnsi="仿宋" w:eastAsia="仿宋"/>
          <w:bCs/>
        </w:rPr>
        <w:t>2.5</w:t>
      </w:r>
      <w:r>
        <w:rPr>
          <w:rFonts w:hint="eastAsia" w:ascii="仿宋" w:hAnsi="仿宋" w:eastAsia="仿宋"/>
          <w:bCs/>
          <w:lang w:val="en-US" w:eastAsia="zh-CN"/>
        </w:rPr>
        <w:t>0</w:t>
      </w:r>
      <w:r>
        <w:rPr>
          <w:rFonts w:ascii="仿宋" w:hAnsi="仿宋" w:eastAsia="仿宋"/>
          <w:bCs/>
        </w:rPr>
        <w:t>万元,比上年减</w:t>
      </w:r>
      <w:r>
        <w:rPr>
          <w:rFonts w:hint="eastAsia" w:ascii="仿宋" w:hAnsi="仿宋" w:eastAsia="仿宋"/>
          <w:bCs/>
        </w:rPr>
        <w:t>少0.3</w:t>
      </w:r>
      <w:r>
        <w:rPr>
          <w:rFonts w:hint="eastAsia" w:ascii="仿宋" w:hAnsi="仿宋" w:eastAsia="仿宋"/>
          <w:bCs/>
          <w:lang w:val="en-US" w:eastAsia="zh-CN"/>
        </w:rPr>
        <w:t>0</w:t>
      </w:r>
      <w:r>
        <w:rPr>
          <w:rFonts w:ascii="仿宋" w:hAnsi="仿宋" w:eastAsia="仿宋"/>
          <w:bCs/>
        </w:rPr>
        <w:t>万元，主要原因是：</w:t>
      </w:r>
      <w:r>
        <w:rPr>
          <w:rFonts w:hint="eastAsia" w:ascii="仿宋" w:hAnsi="仿宋" w:eastAsia="仿宋"/>
          <w:bCs/>
        </w:rPr>
        <w:t>为贯彻落实过紧日子的要求，从严从紧核定公务用车经费，压减公务用车运行经费支出</w:t>
      </w:r>
      <w:r>
        <w:rPr>
          <w:rFonts w:ascii="仿宋" w:hAnsi="仿宋" w:eastAsia="仿宋"/>
          <w:bCs/>
        </w:rPr>
        <w:t>。</w:t>
      </w:r>
    </w:p>
    <w:p w14:paraId="17F8D662">
      <w:pPr>
        <w:spacing w:line="560" w:lineRule="exact"/>
        <w:ind w:firstLine="640" w:firstLineChars="200"/>
        <w:jc w:val="left"/>
        <w:rPr>
          <w:rFonts w:ascii="仿宋" w:hAnsi="仿宋" w:eastAsia="仿宋"/>
          <w:bCs/>
        </w:rPr>
      </w:pPr>
      <w:r>
        <w:rPr>
          <w:rFonts w:ascii="仿宋" w:hAnsi="仿宋" w:eastAsia="仿宋"/>
          <w:bCs/>
        </w:rPr>
        <w:t>公务用车购置</w:t>
      </w:r>
      <w:r>
        <w:rPr>
          <w:rFonts w:hint="eastAsia" w:ascii="仿宋" w:hAnsi="仿宋" w:eastAsia="仿宋"/>
          <w:bCs/>
        </w:rPr>
        <w:t>0</w:t>
      </w:r>
      <w:r>
        <w:rPr>
          <w:rFonts w:hint="eastAsia" w:ascii="仿宋" w:hAnsi="仿宋" w:eastAsia="仿宋"/>
          <w:bCs/>
          <w:lang w:val="en-US" w:eastAsia="zh-CN"/>
        </w:rPr>
        <w:t>.00</w:t>
      </w:r>
      <w:r>
        <w:rPr>
          <w:rFonts w:ascii="仿宋" w:hAnsi="仿宋" w:eastAsia="仿宋"/>
          <w:bCs/>
        </w:rPr>
        <w:t>万元,比上年减</w:t>
      </w:r>
      <w:r>
        <w:rPr>
          <w:rFonts w:hint="eastAsia" w:ascii="仿宋" w:hAnsi="仿宋" w:eastAsia="仿宋"/>
          <w:bCs/>
        </w:rPr>
        <w:t>少17.98</w:t>
      </w:r>
      <w:r>
        <w:rPr>
          <w:rFonts w:ascii="仿宋" w:hAnsi="仿宋" w:eastAsia="仿宋"/>
          <w:bCs/>
        </w:rPr>
        <w:t>万元，主要原因是：</w:t>
      </w:r>
      <w:r>
        <w:rPr>
          <w:rFonts w:hint="eastAsia" w:ascii="仿宋" w:hAnsi="仿宋" w:eastAsia="仿宋"/>
          <w:bCs/>
        </w:rPr>
        <w:t>上年度单位1台在编车辆因服务年限久、行驶公里数长、无维修价值和使用价值，且已达到报废条件，为了节约耗能、利于工作、保障安全，经市机关事务局审批同意，在车辆编制内更新购置1台公务车辆</w:t>
      </w:r>
      <w:r>
        <w:rPr>
          <w:rFonts w:ascii="仿宋" w:hAnsi="仿宋" w:eastAsia="仿宋"/>
          <w:bCs/>
        </w:rPr>
        <w:t>。</w:t>
      </w:r>
      <w:r>
        <w:rPr>
          <w:rFonts w:ascii="仿宋" w:hAnsi="仿宋" w:eastAsia="仿宋"/>
          <w:bCs/>
        </w:rPr>
        <w:fldChar w:fldCharType="begin"/>
      </w:r>
      <w:r>
        <w:rPr>
          <w:rFonts w:ascii="仿宋" w:hAnsi="仿宋" w:eastAsia="仿宋"/>
          <w:bCs/>
        </w:rPr>
        <w:instrText xml:space="preserve">MERGEFIELD ${page400644146.ds215660413_REP_BGT_T_HC1100002019_DXQ02_ZCSGGZ}</w:instrText>
      </w:r>
      <w:r>
        <w:rPr>
          <w:rFonts w:ascii="仿宋" w:hAnsi="仿宋" w:eastAsia="仿宋"/>
          <w:bCs/>
        </w:rPr>
        <w:fldChar w:fldCharType="end"/>
      </w:r>
    </w:p>
    <w:p w14:paraId="1E4AEB58">
      <w:pPr>
        <w:widowControl/>
        <w:spacing w:line="560" w:lineRule="exact"/>
        <w:ind w:firstLine="636"/>
        <w:jc w:val="left"/>
        <w:rPr>
          <w:rStyle w:val="10"/>
          <w:rFonts w:ascii="仿宋" w:hAnsi="仿宋" w:eastAsia="仿宋"/>
        </w:rPr>
      </w:pPr>
    </w:p>
    <w:p w14:paraId="18E3D80D">
      <w:pPr>
        <w:shd w:val="clear" w:color="auto" w:fill="FFFFFF"/>
        <w:spacing w:line="560" w:lineRule="exact"/>
        <w:jc w:val="center"/>
        <w:rPr>
          <w:rFonts w:ascii="黑体" w:hAnsi="黑体" w:eastAsia="黑体"/>
          <w:szCs w:val="30"/>
        </w:rPr>
      </w:pPr>
      <w:r>
        <w:rPr>
          <w:rFonts w:hint="eastAsia" w:ascii="黑体" w:hAnsi="黑体" w:eastAsia="黑体"/>
          <w:szCs w:val="30"/>
        </w:rPr>
        <w:t>第四部分   名词解释</w:t>
      </w:r>
    </w:p>
    <w:p w14:paraId="39E758A4">
      <w:pPr>
        <w:shd w:val="clear" w:color="auto" w:fill="FFFFFF"/>
        <w:spacing w:line="560" w:lineRule="exact"/>
        <w:ind w:firstLine="640"/>
        <w:jc w:val="center"/>
        <w:rPr>
          <w:rFonts w:ascii="Arial" w:hAnsi="Arial" w:cs="Arial"/>
          <w:color w:val="333333"/>
          <w:sz w:val="14"/>
          <w:szCs w:val="14"/>
        </w:rPr>
      </w:pPr>
    </w:p>
    <w:p w14:paraId="0FE6CE8B">
      <w:pPr>
        <w:shd w:val="clear" w:color="auto" w:fill="FFFFFF"/>
        <w:spacing w:line="560" w:lineRule="exact"/>
        <w:ind w:firstLine="640" w:firstLineChars="200"/>
        <w:jc w:val="left"/>
        <w:rPr>
          <w:rFonts w:ascii="黑体" w:hAnsi="黑体" w:eastAsia="黑体"/>
        </w:rPr>
      </w:pPr>
      <w:r>
        <w:rPr>
          <w:rFonts w:hint="eastAsia" w:ascii="黑体" w:hAnsi="黑体" w:eastAsia="黑体"/>
        </w:rPr>
        <w:t>一、收入科目</w:t>
      </w:r>
    </w:p>
    <w:p w14:paraId="460F556F">
      <w:pPr>
        <w:numPr>
          <w:ilvl w:val="0"/>
          <w:numId w:val="1"/>
        </w:numPr>
        <w:spacing w:line="560" w:lineRule="exact"/>
        <w:ind w:firstLine="640" w:firstLineChars="200"/>
        <w:jc w:val="left"/>
        <w:rPr>
          <w:rFonts w:ascii="仿宋" w:hAnsi="仿宋" w:eastAsia="仿宋"/>
          <w:color w:val="000000"/>
          <w:szCs w:val="30"/>
        </w:rPr>
      </w:pPr>
      <w:r>
        <w:rPr>
          <w:rFonts w:hint="eastAsia" w:ascii="仿宋" w:hAnsi="仿宋" w:eastAsia="仿宋"/>
          <w:color w:val="000000"/>
          <w:szCs w:val="30"/>
        </w:rPr>
        <w:t>财政拨款：指市级财政当年拨付的资金。</w:t>
      </w:r>
    </w:p>
    <w:p w14:paraId="4AF65D2C">
      <w:pPr>
        <w:numPr>
          <w:ilvl w:val="0"/>
          <w:numId w:val="1"/>
        </w:numPr>
        <w:spacing w:line="560" w:lineRule="exact"/>
        <w:ind w:firstLine="640" w:firstLineChars="200"/>
        <w:rPr>
          <w:rFonts w:ascii="仿宋" w:hAnsi="仿宋" w:eastAsia="仿宋"/>
          <w:color w:val="000000"/>
          <w:szCs w:val="30"/>
        </w:rPr>
      </w:pPr>
      <w:r>
        <w:rPr>
          <w:rFonts w:hint="eastAsia" w:ascii="仿宋" w:hAnsi="仿宋" w:eastAsia="仿宋"/>
          <w:color w:val="000000"/>
          <w:szCs w:val="30"/>
        </w:rPr>
        <w:t>教育收费资金收入：反映实行专项管理的高中以上学费、住宿费，高校委托培养费，函大、电大、夜大及短训班培训费等教育收费取得的收入。</w:t>
      </w:r>
    </w:p>
    <w:p w14:paraId="0742CD18">
      <w:pPr>
        <w:spacing w:line="560" w:lineRule="exact"/>
        <w:ind w:firstLine="640" w:firstLineChars="200"/>
        <w:rPr>
          <w:rFonts w:ascii="仿宋" w:hAnsi="仿宋" w:eastAsia="仿宋"/>
          <w:color w:val="000000"/>
          <w:szCs w:val="30"/>
        </w:rPr>
      </w:pPr>
      <w:r>
        <w:rPr>
          <w:rFonts w:hint="eastAsia" w:ascii="仿宋" w:hAnsi="仿宋" w:eastAsia="仿宋"/>
        </w:rPr>
        <w:t>（三）</w:t>
      </w:r>
      <w:r>
        <w:rPr>
          <w:rFonts w:hint="eastAsia" w:ascii="仿宋" w:hAnsi="仿宋" w:eastAsia="仿宋"/>
          <w:color w:val="000000"/>
          <w:szCs w:val="30"/>
        </w:rPr>
        <w:t>事业收入：指事业单位开展专业业务活动及辅助活动取得的收入。</w:t>
      </w:r>
    </w:p>
    <w:p w14:paraId="562B975D">
      <w:pPr>
        <w:spacing w:line="560" w:lineRule="exact"/>
        <w:ind w:firstLine="640" w:firstLineChars="200"/>
        <w:rPr>
          <w:rFonts w:ascii="仿宋" w:hAnsi="仿宋" w:eastAsia="仿宋"/>
          <w:color w:val="000000"/>
          <w:szCs w:val="30"/>
        </w:rPr>
      </w:pPr>
      <w:r>
        <w:rPr>
          <w:rFonts w:hint="eastAsia" w:ascii="仿宋" w:hAnsi="仿宋" w:eastAsia="仿宋"/>
        </w:rPr>
        <w:t>（四）</w:t>
      </w:r>
      <w:r>
        <w:rPr>
          <w:rFonts w:hint="eastAsia" w:ascii="仿宋" w:hAnsi="仿宋" w:eastAsia="仿宋"/>
          <w:color w:val="000000"/>
          <w:szCs w:val="30"/>
        </w:rPr>
        <w:t>事业单位经营收入：指事业单位在专业业务活动及辅助活动之外开展非独立核算经营活动取得的收入。</w:t>
      </w:r>
    </w:p>
    <w:p w14:paraId="1C1268BB">
      <w:pPr>
        <w:spacing w:line="560" w:lineRule="exact"/>
        <w:ind w:firstLine="640" w:firstLineChars="200"/>
        <w:rPr>
          <w:rFonts w:ascii="仿宋" w:hAnsi="仿宋" w:eastAsia="仿宋"/>
        </w:rPr>
      </w:pPr>
      <w:r>
        <w:rPr>
          <w:rFonts w:hint="eastAsia" w:ascii="仿宋" w:hAnsi="仿宋" w:eastAsia="仿宋"/>
          <w:szCs w:val="30"/>
        </w:rPr>
        <w:t>（</w:t>
      </w:r>
      <w:r>
        <w:rPr>
          <w:rFonts w:hint="eastAsia" w:ascii="仿宋" w:hAnsi="仿宋" w:eastAsia="仿宋"/>
        </w:rPr>
        <w:t>五）</w:t>
      </w:r>
      <w:r>
        <w:rPr>
          <w:rFonts w:hint="eastAsia" w:ascii="仿宋" w:hAnsi="仿宋" w:eastAsia="仿宋"/>
          <w:color w:val="000000"/>
          <w:szCs w:val="30"/>
        </w:rPr>
        <w:t>附属单位上缴收入：反映事业单位附属的独立核算单位按规定标准或比例缴纳的各项收入。包括附属的事业单位上缴的收入和附属的企业上缴的利润等。</w:t>
      </w:r>
    </w:p>
    <w:p w14:paraId="3861BBA2">
      <w:pPr>
        <w:spacing w:line="560" w:lineRule="exact"/>
        <w:ind w:firstLine="640" w:firstLineChars="200"/>
        <w:rPr>
          <w:rFonts w:ascii="仿宋" w:hAnsi="仿宋" w:eastAsia="仿宋"/>
          <w:color w:val="000000"/>
          <w:szCs w:val="30"/>
        </w:rPr>
      </w:pPr>
      <w:r>
        <w:rPr>
          <w:rFonts w:hint="eastAsia" w:ascii="仿宋" w:hAnsi="仿宋" w:eastAsia="仿宋"/>
        </w:rPr>
        <w:t>（六）</w:t>
      </w:r>
      <w:r>
        <w:rPr>
          <w:rFonts w:hint="eastAsia" w:ascii="仿宋" w:hAnsi="仿宋" w:eastAsia="仿宋"/>
          <w:color w:val="000000"/>
          <w:szCs w:val="30"/>
        </w:rPr>
        <w:t>上级补助收入：反映事业单位从主管部门和上级单位取得的非财政补助收入。</w:t>
      </w:r>
    </w:p>
    <w:p w14:paraId="1A5D1847">
      <w:pPr>
        <w:spacing w:line="560" w:lineRule="exact"/>
        <w:ind w:firstLine="640" w:firstLineChars="200"/>
        <w:rPr>
          <w:rFonts w:ascii="仿宋" w:hAnsi="仿宋" w:eastAsia="仿宋"/>
          <w:color w:val="000000"/>
          <w:szCs w:val="30"/>
        </w:rPr>
      </w:pPr>
      <w:r>
        <w:rPr>
          <w:rFonts w:hint="eastAsia" w:ascii="仿宋" w:hAnsi="仿宋" w:eastAsia="仿宋"/>
        </w:rPr>
        <w:t>（七）</w:t>
      </w:r>
      <w:r>
        <w:rPr>
          <w:rFonts w:hint="eastAsia" w:ascii="仿宋" w:hAnsi="仿宋" w:eastAsia="仿宋"/>
          <w:color w:val="000000"/>
          <w:szCs w:val="30"/>
        </w:rPr>
        <w:t>其他收入：指除财政拨款、事业收入、事业单位经营收入等以外的各项收入。</w:t>
      </w:r>
    </w:p>
    <w:p w14:paraId="5284E359">
      <w:pPr>
        <w:spacing w:line="560" w:lineRule="exact"/>
        <w:ind w:firstLine="640" w:firstLineChars="200"/>
        <w:rPr>
          <w:rFonts w:ascii="仿宋" w:hAnsi="仿宋" w:eastAsia="仿宋"/>
          <w:color w:val="000000"/>
          <w:szCs w:val="30"/>
        </w:rPr>
      </w:pPr>
      <w:r>
        <w:rPr>
          <w:rFonts w:hint="eastAsia" w:ascii="仿宋" w:hAnsi="仿宋" w:eastAsia="仿宋"/>
        </w:rPr>
        <w:t>（八）</w:t>
      </w:r>
      <w:r>
        <w:rPr>
          <w:rFonts w:hint="eastAsia" w:ascii="仿宋" w:hAnsi="仿宋" w:eastAsia="仿宋"/>
          <w:color w:val="000000"/>
          <w:szCs w:val="30"/>
        </w:rPr>
        <w:t>使用非财政拨款结余：填列历年滚存的非限定用途的非统计财政拨款结余弥补2025年收支差额的数额。</w:t>
      </w:r>
    </w:p>
    <w:p w14:paraId="203B6360">
      <w:pPr>
        <w:spacing w:line="560" w:lineRule="exact"/>
        <w:ind w:firstLine="640" w:firstLineChars="200"/>
        <w:rPr>
          <w:rFonts w:ascii="仿宋" w:hAnsi="仿宋" w:eastAsia="仿宋"/>
        </w:rPr>
      </w:pPr>
      <w:r>
        <w:rPr>
          <w:rFonts w:hint="eastAsia" w:ascii="仿宋" w:hAnsi="仿宋" w:eastAsia="仿宋"/>
        </w:rPr>
        <w:t>（九）</w:t>
      </w:r>
      <w:r>
        <w:rPr>
          <w:rFonts w:hint="eastAsia" w:ascii="仿宋" w:hAnsi="仿宋" w:eastAsia="仿宋"/>
          <w:color w:val="000000"/>
          <w:szCs w:val="30"/>
        </w:rPr>
        <w:t>上年结转和结余：填列202</w:t>
      </w:r>
      <w:r>
        <w:rPr>
          <w:rFonts w:ascii="仿宋" w:hAnsi="仿宋" w:eastAsia="仿宋"/>
          <w:color w:val="000000"/>
          <w:szCs w:val="30"/>
        </w:rPr>
        <w:t>4</w:t>
      </w:r>
      <w:r>
        <w:rPr>
          <w:rFonts w:hint="eastAsia" w:ascii="仿宋" w:hAnsi="仿宋" w:eastAsia="仿宋"/>
          <w:color w:val="000000"/>
          <w:szCs w:val="30"/>
        </w:rPr>
        <w:t>年全部结转和结余的资金数，包括当年结转结余资金和历年滚存结转结余资金。</w:t>
      </w:r>
    </w:p>
    <w:p w14:paraId="6B7F6933">
      <w:pPr>
        <w:shd w:val="clear" w:color="auto" w:fill="FFFFFF"/>
        <w:spacing w:line="560" w:lineRule="exact"/>
        <w:ind w:firstLine="640" w:firstLineChars="200"/>
        <w:rPr>
          <w:rFonts w:ascii="黑体" w:hAnsi="黑体" w:eastAsia="黑体"/>
        </w:rPr>
      </w:pPr>
      <w:r>
        <w:rPr>
          <w:rFonts w:hint="eastAsia" w:ascii="黑体" w:hAnsi="黑体" w:eastAsia="黑体"/>
        </w:rPr>
        <w:t>二、支出科目</w:t>
      </w:r>
    </w:p>
    <w:p w14:paraId="6AAF0DB3">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（一）社会保障和就业支出：反映政府在社会保障与就业方面的支出。</w:t>
      </w:r>
    </w:p>
    <w:p w14:paraId="0251504A">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行政单位离退休：反映行政单位（包括实行公务员管理的事业单位）开支的离退休经费。</w:t>
      </w:r>
    </w:p>
    <w:p w14:paraId="4F4B34BC">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事业单位离退休：反映事业单位开支的离退休经费。</w:t>
      </w:r>
    </w:p>
    <w:p w14:paraId="5A2B5AC8">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机关事业单位基本养老保险缴费支出：反映机关事业单位实施养老保险制度由单位缴纳的基本养老保险费支出。</w:t>
      </w:r>
    </w:p>
    <w:p w14:paraId="57F70ABB">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（二）卫生健康支出：反映政府卫生健康方面的支出</w:t>
      </w:r>
    </w:p>
    <w:p w14:paraId="7975952B">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行政事业单位医疗：反映行政事业单位医疗方面的支出。</w:t>
      </w:r>
    </w:p>
    <w:p w14:paraId="638F438A">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行政单位医疗：反映财政部门安排的行政单位（包括实行公务员管理的事业单位）基本医疗保险缴费经费，未参加医疗保险的行政单位的公费医疗经费，按国家规定享受离休人员、红军老战士待遇人员的医疗经费。</w:t>
      </w:r>
    </w:p>
    <w:p w14:paraId="2243DA56">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事业单位医疗：反映财政部门安排的事业单位基本医疗保险缴费经费，为参加医疗保险的事业单位的公费医疗经费，按国家规定享受离休人员待遇的医疗经费。</w:t>
      </w:r>
    </w:p>
    <w:p w14:paraId="09751326">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公务员医疗补助：反映财政部门安排的公务员医疗补助经费。</w:t>
      </w:r>
    </w:p>
    <w:p w14:paraId="7DE95505">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（三）自然资源海洋气象等支出:反映政府用于自然资源、海洋、测绘、气象等公益服务事业方面的支出。</w:t>
      </w:r>
    </w:p>
    <w:p w14:paraId="036C5543">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自然资源事务：反映自然资源管理等方面的支出。</w:t>
      </w:r>
    </w:p>
    <w:p w14:paraId="3F3AF287">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行政运行:反映行政单位(包括实行公务员管理的事业单位)的基本支出。</w:t>
      </w:r>
    </w:p>
    <w:p w14:paraId="7BA5486B">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一般行政管理事务：反映行政单位（包括实行公务员管理的事业单位）未单独设置项级科目的其他项目支出。</w:t>
      </w:r>
    </w:p>
    <w:p w14:paraId="489784FD">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事业运行:反映事业单位的基本支出，不包括行政单位(包括实行公务员管理的事业单位)、后勤服务中心、医务室等附属事业单位。</w:t>
      </w:r>
    </w:p>
    <w:p w14:paraId="1F3F9916">
      <w:pPr>
        <w:spacing w:line="560" w:lineRule="exact"/>
        <w:ind w:firstLine="640" w:firstLineChars="200"/>
        <w:rPr>
          <w:rFonts w:hint="eastAsia" w:ascii="仿宋" w:hAnsi="仿宋" w:eastAsia="仿宋"/>
          <w:color w:val="000000"/>
          <w:szCs w:val="30"/>
        </w:rPr>
      </w:pPr>
      <w:r>
        <w:rPr>
          <w:rFonts w:hint="eastAsia" w:ascii="仿宋" w:hAnsi="仿宋" w:eastAsia="仿宋"/>
          <w:color w:val="000000"/>
          <w:szCs w:val="30"/>
        </w:rPr>
        <w:t>（四）住房保障支出：集中反映政府用于住房方面的支出。</w:t>
      </w:r>
    </w:p>
    <w:p w14:paraId="2C8D0574">
      <w:pPr>
        <w:spacing w:line="560" w:lineRule="exact"/>
        <w:ind w:firstLine="640" w:firstLineChars="200"/>
        <w:rPr>
          <w:rFonts w:ascii="仿宋" w:hAnsi="仿宋" w:eastAsia="仿宋"/>
          <w:color w:val="000000"/>
          <w:szCs w:val="30"/>
        </w:rPr>
      </w:pPr>
      <w:r>
        <w:rPr>
          <w:rFonts w:hint="eastAsia" w:ascii="仿宋" w:hAnsi="仿宋" w:eastAsia="仿宋"/>
          <w:color w:val="000000"/>
          <w:szCs w:val="30"/>
        </w:rPr>
        <w:t>住房公积金：反映行政事业单位按人力资源和社会保障部、财政部规定的基本工资和津贴补贴以及规定比例为职工缴纳的住房公积金。</w:t>
      </w:r>
    </w:p>
    <w:p w14:paraId="36A8188A">
      <w:pPr>
        <w:shd w:val="clear" w:color="auto" w:fill="FFFFFF"/>
        <w:spacing w:line="560" w:lineRule="exact"/>
        <w:ind w:firstLine="640" w:firstLineChars="200"/>
        <w:rPr>
          <w:rFonts w:ascii="黑体" w:hAnsi="黑体" w:eastAsia="黑体"/>
        </w:rPr>
      </w:pPr>
      <w:r>
        <w:rPr>
          <w:rFonts w:hint="eastAsia" w:ascii="黑体" w:hAnsi="黑体" w:eastAsia="黑体"/>
        </w:rPr>
        <w:t>三、相关专业名词</w:t>
      </w:r>
    </w:p>
    <w:p w14:paraId="587B7412">
      <w:pPr>
        <w:spacing w:line="560" w:lineRule="exact"/>
        <w:ind w:firstLine="640" w:firstLineChars="200"/>
        <w:rPr>
          <w:rFonts w:ascii="仿宋" w:hAnsi="仿宋" w:eastAsia="仿宋"/>
          <w:color w:val="000000"/>
          <w:szCs w:val="30"/>
        </w:rPr>
      </w:pPr>
      <w:r>
        <w:rPr>
          <w:rFonts w:hint="eastAsia" w:ascii="仿宋" w:hAnsi="仿宋" w:eastAsia="仿宋"/>
          <w:color w:val="000000"/>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87463F6">
      <w:pPr>
        <w:spacing w:line="560" w:lineRule="exact"/>
        <w:ind w:firstLine="640" w:firstLineChars="200"/>
        <w:jc w:val="left"/>
        <w:rPr>
          <w:rFonts w:ascii="仿宋" w:hAnsi="仿宋" w:eastAsia="仿宋"/>
          <w:color w:val="000000"/>
          <w:szCs w:val="30"/>
        </w:rPr>
      </w:pPr>
      <w:r>
        <w:rPr>
          <w:rFonts w:hint="eastAsia" w:ascii="仿宋" w:hAnsi="仿宋" w:eastAsia="仿宋"/>
          <w:color w:val="000000"/>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1A9EF18E">
      <w:pPr>
        <w:spacing w:line="560" w:lineRule="exact"/>
        <w:ind w:firstLine="640" w:firstLineChars="200"/>
        <w:jc w:val="left"/>
        <w:rPr>
          <w:rFonts w:hint="eastAsia" w:ascii="仿宋" w:hAnsi="仿宋" w:eastAsia="仿宋"/>
          <w:color w:val="000000"/>
        </w:rPr>
      </w:pPr>
      <w:r>
        <w:rPr>
          <w:rFonts w:hint="eastAsia" w:ascii="仿宋" w:hAnsi="仿宋" w:eastAsia="仿宋"/>
          <w:color w:val="000000"/>
        </w:rPr>
        <w:t>（三）单位涉及其他相关专业名词解释</w:t>
      </w:r>
    </w:p>
    <w:p w14:paraId="7E0B91A0">
      <w:pPr>
        <w:spacing w:line="560" w:lineRule="exact"/>
        <w:ind w:firstLine="640" w:firstLineChars="200"/>
        <w:jc w:val="left"/>
        <w:rPr>
          <w:rFonts w:ascii="仿宋" w:hAnsi="仿宋" w:eastAsia="仿宋"/>
        </w:rPr>
      </w:pPr>
      <w:r>
        <w:rPr>
          <w:rFonts w:hint="eastAsia" w:ascii="仿宋" w:hAnsi="仿宋" w:eastAsia="仿宋"/>
        </w:rPr>
        <w:t>国土空间规划：国土空间规划是国家空间发展的指南、可持续发展的空间蓝图，是各类开发保护建设活动的基本依据。建立国土空间规划体系并监督实施，将主体功能区规划、土地利用规划、城乡规划等空间规划融合为统一的国土空间规划，实现“多规合一”。</w:t>
      </w:r>
    </w:p>
    <w:p w14:paraId="4B3BBB15">
      <w:pPr>
        <w:spacing w:line="560" w:lineRule="exact"/>
        <w:ind w:firstLine="640" w:firstLineChars="200"/>
        <w:jc w:val="left"/>
        <w:rPr>
          <w:rFonts w:ascii="仿宋" w:hAnsi="仿宋" w:eastAsia="仿宋"/>
          <w:color w:val="000000"/>
          <w:szCs w:val="30"/>
        </w:rPr>
      </w:pPr>
    </w:p>
    <w:p w14:paraId="76DFB578">
      <w:pPr>
        <w:spacing w:line="560" w:lineRule="exact"/>
        <w:jc w:val="left"/>
        <w:rPr>
          <w:rFonts w:ascii="仿宋" w:hAnsi="仿宋" w:eastAsia="仿宋"/>
        </w:rPr>
      </w:pPr>
    </w:p>
    <w:p w14:paraId="58A91BA5">
      <w:pPr>
        <w:adjustRightInd w:val="0"/>
        <w:snapToGrid w:val="0"/>
        <w:spacing w:line="560" w:lineRule="exact"/>
        <w:ind w:firstLine="640" w:firstLineChars="200"/>
        <w:rPr>
          <w:rFonts w:ascii="仿宋" w:hAnsi="仿宋" w:eastAsia="仿宋"/>
          <w:snapToGrid w:val="0"/>
          <w:kern w:val="0"/>
        </w:rPr>
      </w:pPr>
    </w:p>
    <w:p w14:paraId="6372AD67"/>
    <w:sectPr>
      <w:head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A505">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43D8"/>
    <w:rsid w:val="000001B2"/>
    <w:rsid w:val="00014049"/>
    <w:rsid w:val="0001648A"/>
    <w:rsid w:val="00022CB3"/>
    <w:rsid w:val="000253FD"/>
    <w:rsid w:val="00030BDA"/>
    <w:rsid w:val="00031749"/>
    <w:rsid w:val="00041EAA"/>
    <w:rsid w:val="000501C3"/>
    <w:rsid w:val="00054EB6"/>
    <w:rsid w:val="00055F20"/>
    <w:rsid w:val="000630BE"/>
    <w:rsid w:val="0006515E"/>
    <w:rsid w:val="00070D94"/>
    <w:rsid w:val="00085227"/>
    <w:rsid w:val="0009034E"/>
    <w:rsid w:val="000927A9"/>
    <w:rsid w:val="000963CD"/>
    <w:rsid w:val="000A2066"/>
    <w:rsid w:val="000B313A"/>
    <w:rsid w:val="000B4F9E"/>
    <w:rsid w:val="000C6AF7"/>
    <w:rsid w:val="000E1BC2"/>
    <w:rsid w:val="000E6313"/>
    <w:rsid w:val="000F227D"/>
    <w:rsid w:val="000F2E5F"/>
    <w:rsid w:val="000F3A23"/>
    <w:rsid w:val="00104F58"/>
    <w:rsid w:val="0011653F"/>
    <w:rsid w:val="00117D8C"/>
    <w:rsid w:val="00131F78"/>
    <w:rsid w:val="00145C14"/>
    <w:rsid w:val="001651FB"/>
    <w:rsid w:val="001823EA"/>
    <w:rsid w:val="00186709"/>
    <w:rsid w:val="00192620"/>
    <w:rsid w:val="00193C37"/>
    <w:rsid w:val="001C4ED5"/>
    <w:rsid w:val="001C6F31"/>
    <w:rsid w:val="001D2644"/>
    <w:rsid w:val="001D7F21"/>
    <w:rsid w:val="001E0EE7"/>
    <w:rsid w:val="001E6FA2"/>
    <w:rsid w:val="001F1DAC"/>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2E628B"/>
    <w:rsid w:val="002F5412"/>
    <w:rsid w:val="00300620"/>
    <w:rsid w:val="0030186C"/>
    <w:rsid w:val="003057A1"/>
    <w:rsid w:val="00316059"/>
    <w:rsid w:val="00316B29"/>
    <w:rsid w:val="0032092A"/>
    <w:rsid w:val="00323750"/>
    <w:rsid w:val="00334A98"/>
    <w:rsid w:val="00344E49"/>
    <w:rsid w:val="0037237D"/>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012A"/>
    <w:rsid w:val="00495985"/>
    <w:rsid w:val="00496629"/>
    <w:rsid w:val="004A0058"/>
    <w:rsid w:val="004B06B4"/>
    <w:rsid w:val="004B1189"/>
    <w:rsid w:val="004B2303"/>
    <w:rsid w:val="004D6A23"/>
    <w:rsid w:val="004E0577"/>
    <w:rsid w:val="004E5555"/>
    <w:rsid w:val="004F5378"/>
    <w:rsid w:val="004F7260"/>
    <w:rsid w:val="005006DE"/>
    <w:rsid w:val="00502AB1"/>
    <w:rsid w:val="00516279"/>
    <w:rsid w:val="00522FCB"/>
    <w:rsid w:val="0052565B"/>
    <w:rsid w:val="00526265"/>
    <w:rsid w:val="005263FE"/>
    <w:rsid w:val="00526CE0"/>
    <w:rsid w:val="00532264"/>
    <w:rsid w:val="00544895"/>
    <w:rsid w:val="00553AA6"/>
    <w:rsid w:val="005546EF"/>
    <w:rsid w:val="00555080"/>
    <w:rsid w:val="0055670D"/>
    <w:rsid w:val="00571A5D"/>
    <w:rsid w:val="00580BF8"/>
    <w:rsid w:val="005828C8"/>
    <w:rsid w:val="005902D1"/>
    <w:rsid w:val="0059038A"/>
    <w:rsid w:val="0059672A"/>
    <w:rsid w:val="00596957"/>
    <w:rsid w:val="005A3FD6"/>
    <w:rsid w:val="005A65E4"/>
    <w:rsid w:val="005B6C09"/>
    <w:rsid w:val="005C3676"/>
    <w:rsid w:val="005C3DDD"/>
    <w:rsid w:val="005D7ACB"/>
    <w:rsid w:val="005E771F"/>
    <w:rsid w:val="005F090C"/>
    <w:rsid w:val="005F35BD"/>
    <w:rsid w:val="005F69D4"/>
    <w:rsid w:val="00611FE7"/>
    <w:rsid w:val="00623A52"/>
    <w:rsid w:val="006247CA"/>
    <w:rsid w:val="00631E83"/>
    <w:rsid w:val="00631FA4"/>
    <w:rsid w:val="00650900"/>
    <w:rsid w:val="00655E8B"/>
    <w:rsid w:val="00660CC3"/>
    <w:rsid w:val="006740FD"/>
    <w:rsid w:val="006779D5"/>
    <w:rsid w:val="006833F4"/>
    <w:rsid w:val="00687B67"/>
    <w:rsid w:val="006918B8"/>
    <w:rsid w:val="006924DA"/>
    <w:rsid w:val="00696646"/>
    <w:rsid w:val="006A1709"/>
    <w:rsid w:val="006C08EA"/>
    <w:rsid w:val="006C185B"/>
    <w:rsid w:val="006C3868"/>
    <w:rsid w:val="006E3809"/>
    <w:rsid w:val="006F20BD"/>
    <w:rsid w:val="00704CAB"/>
    <w:rsid w:val="007441B4"/>
    <w:rsid w:val="0075709B"/>
    <w:rsid w:val="007574FE"/>
    <w:rsid w:val="00777795"/>
    <w:rsid w:val="00777962"/>
    <w:rsid w:val="007913DC"/>
    <w:rsid w:val="00792A6C"/>
    <w:rsid w:val="0079393D"/>
    <w:rsid w:val="00796F4F"/>
    <w:rsid w:val="007A4D44"/>
    <w:rsid w:val="007B4314"/>
    <w:rsid w:val="007C27E0"/>
    <w:rsid w:val="007D4ACC"/>
    <w:rsid w:val="007D7240"/>
    <w:rsid w:val="007F1616"/>
    <w:rsid w:val="007F4968"/>
    <w:rsid w:val="007F5C86"/>
    <w:rsid w:val="007F79A6"/>
    <w:rsid w:val="008032D2"/>
    <w:rsid w:val="00804C42"/>
    <w:rsid w:val="00823697"/>
    <w:rsid w:val="00840E79"/>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8F5B2D"/>
    <w:rsid w:val="00902917"/>
    <w:rsid w:val="009160F0"/>
    <w:rsid w:val="0091783F"/>
    <w:rsid w:val="0094115F"/>
    <w:rsid w:val="009421D2"/>
    <w:rsid w:val="0094316A"/>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1515"/>
    <w:rsid w:val="009B2C7D"/>
    <w:rsid w:val="009B4813"/>
    <w:rsid w:val="009C2EBF"/>
    <w:rsid w:val="009C3827"/>
    <w:rsid w:val="009D3197"/>
    <w:rsid w:val="009D6781"/>
    <w:rsid w:val="009E1C45"/>
    <w:rsid w:val="009E1F3F"/>
    <w:rsid w:val="009F72E5"/>
    <w:rsid w:val="00A0455D"/>
    <w:rsid w:val="00A10F16"/>
    <w:rsid w:val="00A2168A"/>
    <w:rsid w:val="00A345A4"/>
    <w:rsid w:val="00A54282"/>
    <w:rsid w:val="00A55773"/>
    <w:rsid w:val="00A60B4D"/>
    <w:rsid w:val="00A7473E"/>
    <w:rsid w:val="00A81BA2"/>
    <w:rsid w:val="00AA62DE"/>
    <w:rsid w:val="00AB656D"/>
    <w:rsid w:val="00AB7307"/>
    <w:rsid w:val="00AC370A"/>
    <w:rsid w:val="00AD6859"/>
    <w:rsid w:val="00AF095D"/>
    <w:rsid w:val="00AF57C9"/>
    <w:rsid w:val="00AF62CD"/>
    <w:rsid w:val="00B0337F"/>
    <w:rsid w:val="00B128C8"/>
    <w:rsid w:val="00B12F26"/>
    <w:rsid w:val="00B169A7"/>
    <w:rsid w:val="00B348A8"/>
    <w:rsid w:val="00B547EB"/>
    <w:rsid w:val="00B619F8"/>
    <w:rsid w:val="00B6242B"/>
    <w:rsid w:val="00B71EBE"/>
    <w:rsid w:val="00B82840"/>
    <w:rsid w:val="00B96CEB"/>
    <w:rsid w:val="00B97E35"/>
    <w:rsid w:val="00BA572C"/>
    <w:rsid w:val="00BC3C45"/>
    <w:rsid w:val="00BF0316"/>
    <w:rsid w:val="00C03AFB"/>
    <w:rsid w:val="00C35830"/>
    <w:rsid w:val="00C4059E"/>
    <w:rsid w:val="00C474E4"/>
    <w:rsid w:val="00C51371"/>
    <w:rsid w:val="00C57853"/>
    <w:rsid w:val="00C61B8F"/>
    <w:rsid w:val="00C644A7"/>
    <w:rsid w:val="00C736CA"/>
    <w:rsid w:val="00C771B3"/>
    <w:rsid w:val="00C803DA"/>
    <w:rsid w:val="00C82CA3"/>
    <w:rsid w:val="00CB10B2"/>
    <w:rsid w:val="00CB3DBA"/>
    <w:rsid w:val="00CC4504"/>
    <w:rsid w:val="00CC4FF5"/>
    <w:rsid w:val="00CC517F"/>
    <w:rsid w:val="00CD0083"/>
    <w:rsid w:val="00CE1A2B"/>
    <w:rsid w:val="00CE6F1B"/>
    <w:rsid w:val="00CE7185"/>
    <w:rsid w:val="00CF0A52"/>
    <w:rsid w:val="00CF3DAE"/>
    <w:rsid w:val="00CF5348"/>
    <w:rsid w:val="00D00272"/>
    <w:rsid w:val="00D01624"/>
    <w:rsid w:val="00D05C5A"/>
    <w:rsid w:val="00D07463"/>
    <w:rsid w:val="00D11449"/>
    <w:rsid w:val="00D14B5F"/>
    <w:rsid w:val="00D14E58"/>
    <w:rsid w:val="00D17D0A"/>
    <w:rsid w:val="00D20C6C"/>
    <w:rsid w:val="00D23489"/>
    <w:rsid w:val="00D3381E"/>
    <w:rsid w:val="00D36173"/>
    <w:rsid w:val="00D41219"/>
    <w:rsid w:val="00D524EE"/>
    <w:rsid w:val="00D666BC"/>
    <w:rsid w:val="00D678E3"/>
    <w:rsid w:val="00D826D7"/>
    <w:rsid w:val="00D86F52"/>
    <w:rsid w:val="00D955C4"/>
    <w:rsid w:val="00DB0580"/>
    <w:rsid w:val="00DB2118"/>
    <w:rsid w:val="00DD15FE"/>
    <w:rsid w:val="00DE0D53"/>
    <w:rsid w:val="00DE2065"/>
    <w:rsid w:val="00DE20E0"/>
    <w:rsid w:val="00DE5230"/>
    <w:rsid w:val="00DE5904"/>
    <w:rsid w:val="00DE6773"/>
    <w:rsid w:val="00DF073A"/>
    <w:rsid w:val="00DF2E83"/>
    <w:rsid w:val="00DF43D8"/>
    <w:rsid w:val="00E04632"/>
    <w:rsid w:val="00E04E74"/>
    <w:rsid w:val="00E11187"/>
    <w:rsid w:val="00E17B11"/>
    <w:rsid w:val="00E34083"/>
    <w:rsid w:val="00E365F2"/>
    <w:rsid w:val="00E4214D"/>
    <w:rsid w:val="00E503CC"/>
    <w:rsid w:val="00E5794A"/>
    <w:rsid w:val="00E60E90"/>
    <w:rsid w:val="00E83029"/>
    <w:rsid w:val="00E8526A"/>
    <w:rsid w:val="00E87F83"/>
    <w:rsid w:val="00E9293D"/>
    <w:rsid w:val="00E92A8B"/>
    <w:rsid w:val="00E97D8C"/>
    <w:rsid w:val="00EA3654"/>
    <w:rsid w:val="00EA36FC"/>
    <w:rsid w:val="00EB5768"/>
    <w:rsid w:val="00EB656D"/>
    <w:rsid w:val="00EB6777"/>
    <w:rsid w:val="00EC3DDF"/>
    <w:rsid w:val="00ED0D2B"/>
    <w:rsid w:val="00EE39AB"/>
    <w:rsid w:val="00EE5DE1"/>
    <w:rsid w:val="00EE6568"/>
    <w:rsid w:val="00EF7E52"/>
    <w:rsid w:val="00F01B58"/>
    <w:rsid w:val="00F11FE4"/>
    <w:rsid w:val="00F132AE"/>
    <w:rsid w:val="00F2583E"/>
    <w:rsid w:val="00F32E83"/>
    <w:rsid w:val="00F823EA"/>
    <w:rsid w:val="00F95E5A"/>
    <w:rsid w:val="00F975EB"/>
    <w:rsid w:val="00FA278B"/>
    <w:rsid w:val="00FA354D"/>
    <w:rsid w:val="00FA3B89"/>
    <w:rsid w:val="00FA3E20"/>
    <w:rsid w:val="00FD29E0"/>
    <w:rsid w:val="00FE0E90"/>
    <w:rsid w:val="00FE32CC"/>
    <w:rsid w:val="00FE7CCF"/>
    <w:rsid w:val="00FF60EC"/>
    <w:rsid w:val="00FF6368"/>
    <w:rsid w:val="067A6028"/>
    <w:rsid w:val="0C97247A"/>
    <w:rsid w:val="0DB3098E"/>
    <w:rsid w:val="0E5E7EC3"/>
    <w:rsid w:val="1E3824DF"/>
    <w:rsid w:val="1EE0166C"/>
    <w:rsid w:val="206D0602"/>
    <w:rsid w:val="22430342"/>
    <w:rsid w:val="25B931E9"/>
    <w:rsid w:val="2828673B"/>
    <w:rsid w:val="2C57797E"/>
    <w:rsid w:val="2CC71223"/>
    <w:rsid w:val="2E0B0767"/>
    <w:rsid w:val="3328400E"/>
    <w:rsid w:val="38C6627D"/>
    <w:rsid w:val="3A812F94"/>
    <w:rsid w:val="3A841EE9"/>
    <w:rsid w:val="3A9F1A72"/>
    <w:rsid w:val="3B7D1841"/>
    <w:rsid w:val="3F383632"/>
    <w:rsid w:val="4052753A"/>
    <w:rsid w:val="457C351D"/>
    <w:rsid w:val="47E70571"/>
    <w:rsid w:val="526B6ECC"/>
    <w:rsid w:val="53516268"/>
    <w:rsid w:val="535E0C9A"/>
    <w:rsid w:val="560D6D68"/>
    <w:rsid w:val="56C47F55"/>
    <w:rsid w:val="5EA27D4C"/>
    <w:rsid w:val="63E33020"/>
    <w:rsid w:val="656D750B"/>
    <w:rsid w:val="6BE248E5"/>
    <w:rsid w:val="6DFB3F5C"/>
    <w:rsid w:val="6EDB6140"/>
    <w:rsid w:val="73A85115"/>
    <w:rsid w:val="7AB4796D"/>
    <w:rsid w:val="7FB7473A"/>
    <w:rsid w:val="7FCC39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eastAsia="宋体"/>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6035</Words>
  <Characters>6406</Characters>
  <Lines>16</Lines>
  <Paragraphs>16</Paragraphs>
  <TotalTime>18</TotalTime>
  <ScaleCrop>false</ScaleCrop>
  <LinksUpToDate>false</LinksUpToDate>
  <CharactersWithSpaces>6456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三只小羊</cp:lastModifiedBy>
  <dcterms:modified xsi:type="dcterms:W3CDTF">2025-02-06T06:48:10Z</dcterms:modified>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eyJoZGlkIjoiYTZjMDUzYzE5NzIxZmNiMDc3OTYyNzUxZWEwZjgyMWYiLCJ1c2VySWQiOiIxMDM3MTY0NjczIn0=</vt:lpwstr>
  </property>
  <property fmtid="{D5CDD505-2E9C-101B-9397-08002B2CF9AE}" pid="4" name="ICV">
    <vt:lpwstr>75119B149AF045FA90C12A33D951AF1C_12</vt:lpwstr>
  </property>
</Properties>
</file>