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微软雅黑" w:hAnsi="微软雅黑" w:eastAsia="微软雅黑" w:cs="宋体"/>
          <w:b/>
          <w:bCs/>
          <w:kern w:val="36"/>
          <w:sz w:val="42"/>
          <w:szCs w:val="42"/>
        </w:rPr>
      </w:pPr>
      <w:r>
        <w:rPr>
          <w:rFonts w:hint="eastAsia" w:ascii="微软雅黑" w:hAnsi="微软雅黑" w:eastAsia="微软雅黑" w:cs="宋体"/>
          <w:b/>
          <w:bCs/>
          <w:kern w:val="36"/>
          <w:sz w:val="42"/>
          <w:szCs w:val="42"/>
        </w:rPr>
        <w:t>浔阳区统计局2020年政府信息公开工作</w:t>
      </w:r>
    </w:p>
    <w:p>
      <w:pPr>
        <w:widowControl/>
        <w:jc w:val="center"/>
        <w:outlineLvl w:val="0"/>
        <w:rPr>
          <w:rFonts w:ascii="微软雅黑" w:hAnsi="微软雅黑" w:eastAsia="微软雅黑" w:cs="宋体"/>
          <w:b/>
          <w:bCs/>
          <w:kern w:val="36"/>
          <w:sz w:val="42"/>
          <w:szCs w:val="42"/>
        </w:rPr>
      </w:pPr>
      <w:r>
        <w:rPr>
          <w:rFonts w:hint="eastAsia" w:ascii="微软雅黑" w:hAnsi="微软雅黑" w:eastAsia="微软雅黑" w:cs="宋体"/>
          <w:b/>
          <w:bCs/>
          <w:kern w:val="36"/>
          <w:sz w:val="42"/>
          <w:szCs w:val="42"/>
        </w:rPr>
        <w:t>年度报告</w:t>
      </w:r>
    </w:p>
    <w:p>
      <w:pPr>
        <w:spacing w:line="480" w:lineRule="exact"/>
        <w:rPr>
          <w:b/>
          <w:sz w:val="28"/>
          <w:szCs w:val="28"/>
        </w:rPr>
      </w:pPr>
    </w:p>
    <w:p>
      <w:pPr>
        <w:spacing w:line="480" w:lineRule="exact"/>
        <w:ind w:firstLine="551" w:firstLineChars="196"/>
        <w:rPr>
          <w:b/>
          <w:sz w:val="28"/>
          <w:szCs w:val="28"/>
        </w:rPr>
      </w:pPr>
      <w:r>
        <w:rPr>
          <w:rFonts w:hint="eastAsia"/>
          <w:b/>
          <w:sz w:val="28"/>
          <w:szCs w:val="28"/>
        </w:rPr>
        <w:t>一、总体情况</w:t>
      </w:r>
    </w:p>
    <w:p>
      <w:pPr>
        <w:widowControl/>
        <w:spacing w:line="480" w:lineRule="auto"/>
        <w:ind w:firstLine="56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2020年，我局坚持“以公开为常态，以不公开为例外”原则，结合统计工作实际，认真开展政府信息公开工作，依法落实政务公开的各项工作，确保了信息公开的准确性、权威性、完整性和时效性。</w:t>
      </w:r>
    </w:p>
    <w:p>
      <w:pPr>
        <w:widowControl/>
        <w:spacing w:line="480" w:lineRule="auto"/>
        <w:ind w:firstLine="560"/>
        <w:jc w:val="left"/>
        <w:rPr>
          <w:rFonts w:cs="宋体" w:asciiTheme="majorEastAsia" w:hAnsiTheme="majorEastAsia" w:eastAsiaTheme="majorEastAsia"/>
          <w:b/>
          <w:color w:val="000000"/>
          <w:kern w:val="0"/>
          <w:sz w:val="28"/>
          <w:szCs w:val="28"/>
        </w:rPr>
      </w:pPr>
      <w:r>
        <w:rPr>
          <w:rFonts w:hint="eastAsia" w:cs="宋体" w:asciiTheme="majorEastAsia" w:hAnsiTheme="majorEastAsia" w:eastAsiaTheme="majorEastAsia"/>
          <w:b/>
          <w:color w:val="000000"/>
          <w:kern w:val="0"/>
          <w:sz w:val="28"/>
          <w:szCs w:val="28"/>
        </w:rPr>
        <w:t>（一）主动公开</w:t>
      </w:r>
    </w:p>
    <w:p>
      <w:pPr>
        <w:widowControl/>
        <w:spacing w:line="480" w:lineRule="auto"/>
        <w:ind w:firstLine="56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我局主动公开的信息主要是国民经济统计数据及相关工作动态的政务信息，包括机构职能、统计数据、工作动态等内容。截止2020年12月31日，我局通过区政府网站</w:t>
      </w:r>
      <w:r>
        <w:rPr>
          <w:rFonts w:hint="eastAsia" w:cs="宋体" w:asciiTheme="minorEastAsia" w:hAnsiTheme="minorEastAsia" w:eastAsiaTheme="minorEastAsia"/>
          <w:color w:val="000000"/>
          <w:kern w:val="0"/>
          <w:sz w:val="28"/>
          <w:szCs w:val="28"/>
          <w:lang w:eastAsia="zh-CN"/>
        </w:rPr>
        <w:t>发</w:t>
      </w:r>
      <w:bookmarkStart w:id="0" w:name="_GoBack"/>
      <w:bookmarkEnd w:id="0"/>
      <w:r>
        <w:rPr>
          <w:rFonts w:hint="eastAsia" w:cs="宋体" w:asciiTheme="minorEastAsia" w:hAnsiTheme="minorEastAsia" w:eastAsiaTheme="minorEastAsia"/>
          <w:color w:val="000000"/>
          <w:kern w:val="0"/>
          <w:sz w:val="28"/>
          <w:szCs w:val="28"/>
          <w:lang w:eastAsia="zh-CN"/>
        </w:rPr>
        <w:t>布</w:t>
      </w:r>
      <w:r>
        <w:rPr>
          <w:rFonts w:hint="eastAsia" w:cs="宋体" w:asciiTheme="minorEastAsia" w:hAnsiTheme="minorEastAsia" w:eastAsiaTheme="minorEastAsia"/>
          <w:color w:val="000000"/>
          <w:kern w:val="0"/>
          <w:sz w:val="28"/>
          <w:szCs w:val="28"/>
        </w:rPr>
        <w:t xml:space="preserve">信息共计59条，其中统计数据及分析21条。 </w:t>
      </w:r>
    </w:p>
    <w:p>
      <w:pPr>
        <w:widowControl/>
        <w:spacing w:line="480" w:lineRule="auto"/>
        <w:ind w:firstLine="413" w:firstLineChars="147"/>
        <w:jc w:val="left"/>
        <w:rPr>
          <w:rFonts w:cs="宋体" w:asciiTheme="majorEastAsia" w:hAnsiTheme="majorEastAsia" w:eastAsiaTheme="majorEastAsia"/>
          <w:b/>
          <w:color w:val="000000"/>
          <w:kern w:val="0"/>
          <w:sz w:val="28"/>
          <w:szCs w:val="28"/>
        </w:rPr>
      </w:pPr>
      <w:r>
        <w:rPr>
          <w:rFonts w:hint="eastAsia" w:cs="宋体" w:asciiTheme="majorEastAsia" w:hAnsiTheme="majorEastAsia" w:eastAsiaTheme="majorEastAsia"/>
          <w:b/>
          <w:color w:val="000000"/>
          <w:kern w:val="0"/>
          <w:sz w:val="28"/>
          <w:szCs w:val="28"/>
        </w:rPr>
        <w:t>（二）依申请公开</w:t>
      </w:r>
    </w:p>
    <w:p>
      <w:pPr>
        <w:widowControl/>
        <w:spacing w:line="480" w:lineRule="auto"/>
        <w:ind w:firstLine="56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20</w:t>
      </w:r>
      <w:r>
        <w:rPr>
          <w:rFonts w:hint="eastAsia" w:cs="宋体" w:asciiTheme="minorEastAsia" w:hAnsiTheme="minorEastAsia"/>
          <w:color w:val="000000"/>
          <w:kern w:val="0"/>
          <w:sz w:val="28"/>
          <w:szCs w:val="28"/>
        </w:rPr>
        <w:t>20</w:t>
      </w:r>
      <w:r>
        <w:rPr>
          <w:rFonts w:hint="eastAsia" w:cs="宋体" w:asciiTheme="minorEastAsia" w:hAnsiTheme="minorEastAsia" w:eastAsiaTheme="minorEastAsia"/>
          <w:color w:val="000000"/>
          <w:kern w:val="0"/>
          <w:sz w:val="28"/>
          <w:szCs w:val="28"/>
        </w:rPr>
        <w:t>年，我局未收到依申请公开方面的信息。</w:t>
      </w:r>
    </w:p>
    <w:p>
      <w:pPr>
        <w:widowControl/>
        <w:spacing w:line="480" w:lineRule="auto"/>
        <w:ind w:firstLine="413" w:firstLineChars="147"/>
        <w:jc w:val="left"/>
        <w:rPr>
          <w:rFonts w:cs="宋体" w:asciiTheme="majorEastAsia" w:hAnsiTheme="majorEastAsia" w:eastAsiaTheme="majorEastAsia"/>
          <w:b/>
          <w:color w:val="000000"/>
          <w:kern w:val="0"/>
          <w:sz w:val="28"/>
          <w:szCs w:val="28"/>
        </w:rPr>
      </w:pPr>
      <w:r>
        <w:rPr>
          <w:rFonts w:hint="eastAsia" w:cs="宋体" w:asciiTheme="majorEastAsia" w:hAnsiTheme="majorEastAsia" w:eastAsiaTheme="majorEastAsia"/>
          <w:b/>
          <w:color w:val="000000"/>
          <w:kern w:val="0"/>
          <w:sz w:val="28"/>
          <w:szCs w:val="28"/>
        </w:rPr>
        <w:t>（三）政府信息管理</w:t>
      </w:r>
    </w:p>
    <w:p>
      <w:pPr>
        <w:pStyle w:val="5"/>
        <w:shd w:val="clear" w:color="auto" w:fill="FFFFFF"/>
        <w:spacing w:beforeAutospacing="0" w:afterAutospacing="0"/>
        <w:ind w:firstLine="551" w:firstLineChars="197"/>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进一步完善政务信息常态化管理机制，健全政务信息编辑、审核、发布机制，优化信息发布流程，对政务信息进行全生命周期规范化管理。</w:t>
      </w:r>
    </w:p>
    <w:p>
      <w:pPr>
        <w:pStyle w:val="5"/>
        <w:shd w:val="clear" w:color="auto" w:fill="FFFFFF"/>
        <w:spacing w:beforeAutospacing="0" w:afterAutospacing="0"/>
        <w:ind w:firstLine="413" w:firstLineChars="147"/>
        <w:rPr>
          <w:rFonts w:cs="宋体" w:asciiTheme="majorEastAsia" w:hAnsiTheme="majorEastAsia" w:eastAsiaTheme="majorEastAsia"/>
          <w:b/>
          <w:color w:val="000000"/>
          <w:sz w:val="28"/>
          <w:szCs w:val="28"/>
        </w:rPr>
      </w:pPr>
      <w:r>
        <w:rPr>
          <w:rFonts w:hint="eastAsia" w:cs="宋体" w:asciiTheme="majorEastAsia" w:hAnsiTheme="majorEastAsia" w:eastAsiaTheme="majorEastAsia"/>
          <w:b/>
          <w:color w:val="000000"/>
          <w:sz w:val="28"/>
          <w:szCs w:val="28"/>
        </w:rPr>
        <w:t>（四）平台建设</w:t>
      </w:r>
    </w:p>
    <w:p>
      <w:pPr>
        <w:pStyle w:val="5"/>
        <w:shd w:val="clear" w:color="auto" w:fill="FFFFFF"/>
        <w:spacing w:beforeAutospacing="0" w:afterAutospacing="0"/>
        <w:ind w:firstLine="48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对政务公开的范围、政务公开的内容、政务公开的形式、政务公开的制度等作了进一步的明确，</w:t>
      </w:r>
      <w:r>
        <w:rPr>
          <w:rFonts w:cs="宋体" w:asciiTheme="minorEastAsia" w:hAnsiTheme="minorEastAsia" w:eastAsiaTheme="minorEastAsia"/>
          <w:color w:val="000000"/>
          <w:sz w:val="28"/>
          <w:szCs w:val="28"/>
        </w:rPr>
        <w:t>不断加强政府信息公开平台建设力度，及时维护更新政府信息公开平台</w:t>
      </w:r>
      <w:r>
        <w:rPr>
          <w:rFonts w:hint="eastAsia" w:cs="宋体" w:asciiTheme="minorEastAsia" w:hAnsiTheme="minorEastAsia" w:eastAsiaTheme="minorEastAsia"/>
          <w:color w:val="000000"/>
          <w:sz w:val="28"/>
          <w:szCs w:val="28"/>
        </w:rPr>
        <w:t>。 </w:t>
      </w:r>
    </w:p>
    <w:p>
      <w:pPr>
        <w:widowControl/>
        <w:spacing w:line="480" w:lineRule="auto"/>
        <w:ind w:firstLine="413" w:firstLineChars="147"/>
        <w:jc w:val="left"/>
        <w:rPr>
          <w:rFonts w:cs="宋体" w:asciiTheme="majorEastAsia" w:hAnsiTheme="majorEastAsia" w:eastAsiaTheme="majorEastAsia"/>
          <w:b/>
          <w:color w:val="000000"/>
          <w:kern w:val="0"/>
          <w:sz w:val="28"/>
          <w:szCs w:val="28"/>
        </w:rPr>
      </w:pPr>
      <w:r>
        <w:rPr>
          <w:rFonts w:hint="eastAsia" w:cs="宋体" w:asciiTheme="majorEastAsia" w:hAnsiTheme="majorEastAsia" w:eastAsiaTheme="majorEastAsia"/>
          <w:b/>
          <w:color w:val="000000"/>
          <w:kern w:val="0"/>
          <w:sz w:val="28"/>
          <w:szCs w:val="28"/>
        </w:rPr>
        <w:t>（五）监督保障</w:t>
      </w:r>
    </w:p>
    <w:p>
      <w:pPr>
        <w:widowControl/>
        <w:spacing w:line="480" w:lineRule="auto"/>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完善政务公开领导小组，在狠抓内部制约机制的同时，抓好外部监督制约机制的完善，建立健全长效管理机制，形成用制度规范行为、按制度办事、靠制度管人的机制。建立了相应的目标责任制，做到工作网络健全，工作机构完善，工作人员落实，任务分解到位。</w:t>
      </w:r>
    </w:p>
    <w:p>
      <w:pPr>
        <w:spacing w:line="480" w:lineRule="exact"/>
        <w:ind w:firstLine="551" w:firstLineChars="196"/>
        <w:rPr>
          <w:b/>
          <w:sz w:val="28"/>
          <w:szCs w:val="28"/>
        </w:rPr>
      </w:pPr>
    </w:p>
    <w:p>
      <w:pPr>
        <w:spacing w:line="480" w:lineRule="exact"/>
        <w:ind w:firstLine="551" w:firstLineChars="196"/>
        <w:rPr>
          <w:b/>
          <w:sz w:val="28"/>
          <w:szCs w:val="28"/>
        </w:rPr>
      </w:pPr>
      <w:r>
        <w:rPr>
          <w:rFonts w:hint="eastAsia"/>
          <w:b/>
          <w:sz w:val="28"/>
          <w:szCs w:val="28"/>
        </w:rPr>
        <w:t>二、主动公开政府信息情况</w:t>
      </w:r>
      <w:r>
        <w:rPr>
          <w:rFonts w:hint="eastAsia"/>
        </w:rPr>
        <w:t xml:space="preserve"> </w:t>
      </w:r>
    </w:p>
    <w:p>
      <w:pPr>
        <w:spacing w:line="480" w:lineRule="exact"/>
        <w:rPr>
          <w:b/>
          <w:sz w:val="28"/>
          <w:szCs w:val="28"/>
        </w:rPr>
      </w:pPr>
    </w:p>
    <w:tbl>
      <w:tblPr>
        <w:tblStyle w:val="6"/>
        <w:tblW w:w="8127" w:type="dxa"/>
        <w:jc w:val="center"/>
        <w:shd w:val="clear" w:color="auto" w:fill="FFFFFF" w:themeFill="background1"/>
        <w:tblLayout w:type="fixed"/>
        <w:tblCellMar>
          <w:top w:w="0" w:type="dxa"/>
          <w:left w:w="0" w:type="dxa"/>
          <w:bottom w:w="0" w:type="dxa"/>
          <w:right w:w="0" w:type="dxa"/>
        </w:tblCellMar>
      </w:tblPr>
      <w:tblGrid>
        <w:gridCol w:w="2747"/>
        <w:gridCol w:w="1840"/>
        <w:gridCol w:w="1661"/>
        <w:gridCol w:w="1879"/>
      </w:tblGrid>
      <w:tr>
        <w:tblPrEx>
          <w:shd w:val="clear" w:color="auto" w:fill="FFFFFF" w:themeFill="background1"/>
          <w:tblCellMar>
            <w:top w:w="0" w:type="dxa"/>
            <w:left w:w="0" w:type="dxa"/>
            <w:bottom w:w="0" w:type="dxa"/>
            <w:right w:w="0" w:type="dxa"/>
          </w:tblCellMar>
        </w:tblPrEx>
        <w:trPr>
          <w:trHeight w:val="580" w:hRule="atLeast"/>
          <w:jc w:val="center"/>
        </w:trPr>
        <w:tc>
          <w:tcPr>
            <w:tcW w:w="8127"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1"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4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本年新</w:t>
            </w:r>
            <w:r>
              <w:rPr>
                <w:rFonts w:asciiTheme="minorHAnsi" w:hAnsiTheme="minorHAnsi" w:eastAsiaTheme="minorEastAsia" w:cstheme="minorBidi"/>
                <w:kern w:val="0"/>
                <w:sz w:val="20"/>
                <w:szCs w:val="20"/>
              </w:rPr>
              <w:t>制作数量</w:t>
            </w:r>
          </w:p>
        </w:tc>
        <w:tc>
          <w:tcPr>
            <w:tcW w:w="1661"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本年新</w:t>
            </w:r>
            <w:r>
              <w:rPr>
                <w:rFonts w:asciiTheme="minorHAnsi" w:hAnsiTheme="minorHAnsi" w:eastAsiaTheme="minorEastAsia" w:cstheme="minorBidi"/>
                <w:kern w:val="0"/>
                <w:sz w:val="20"/>
                <w:szCs w:val="20"/>
              </w:rPr>
              <w:t>公开数量</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对外公开总数量</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规章</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66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80"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规范性文件</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66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66" w:hRule="atLeast"/>
          <w:jc w:val="center"/>
        </w:trPr>
        <w:tc>
          <w:tcPr>
            <w:tcW w:w="8127" w:type="dxa"/>
            <w:gridSpan w:val="4"/>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4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上一年项目数量</w:t>
            </w:r>
          </w:p>
        </w:tc>
        <w:tc>
          <w:tcPr>
            <w:tcW w:w="1661"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本年增/减</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处理决定数量</w:t>
            </w:r>
          </w:p>
        </w:tc>
      </w:tr>
      <w:tr>
        <w:tblPrEx>
          <w:tblCellMar>
            <w:top w:w="0" w:type="dxa"/>
            <w:left w:w="0" w:type="dxa"/>
            <w:bottom w:w="0" w:type="dxa"/>
            <w:right w:w="0" w:type="dxa"/>
          </w:tblCellMar>
        </w:tblPrEx>
        <w:trPr>
          <w:trHeight w:val="580"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行政许可</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66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其他对外管理服务事项</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66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66" w:hRule="atLeast"/>
          <w:jc w:val="center"/>
        </w:trPr>
        <w:tc>
          <w:tcPr>
            <w:tcW w:w="8127" w:type="dxa"/>
            <w:gridSpan w:val="4"/>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580"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4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上一年项目数量</w:t>
            </w:r>
          </w:p>
        </w:tc>
        <w:tc>
          <w:tcPr>
            <w:tcW w:w="1661"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本年增/减</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处理决定数量</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行政处罚</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66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行政强制</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66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80" w:hRule="atLeast"/>
          <w:jc w:val="center"/>
        </w:trPr>
        <w:tc>
          <w:tcPr>
            <w:tcW w:w="8127" w:type="dxa"/>
            <w:gridSpan w:val="4"/>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上一年项目数量</w:t>
            </w:r>
          </w:p>
        </w:tc>
        <w:tc>
          <w:tcPr>
            <w:tcW w:w="3540" w:type="dxa"/>
            <w:gridSpan w:val="2"/>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本年增/减</w:t>
            </w:r>
          </w:p>
        </w:tc>
      </w:tr>
      <w:tr>
        <w:tblPrEx>
          <w:tblCellMar>
            <w:top w:w="0" w:type="dxa"/>
            <w:left w:w="0" w:type="dxa"/>
            <w:bottom w:w="0" w:type="dxa"/>
            <w:right w:w="0" w:type="dxa"/>
          </w:tblCellMar>
        </w:tblPrEx>
        <w:trPr>
          <w:trHeight w:val="566" w:hRule="atLeast"/>
          <w:jc w:val="center"/>
        </w:trPr>
        <w:tc>
          <w:tcPr>
            <w:tcW w:w="274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行政事业性收费</w:t>
            </w:r>
          </w:p>
        </w:tc>
        <w:tc>
          <w:tcPr>
            <w:tcW w:w="184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3540" w:type="dxa"/>
            <w:gridSpan w:val="2"/>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tblCellMar>
            <w:top w:w="0" w:type="dxa"/>
            <w:left w:w="0" w:type="dxa"/>
            <w:bottom w:w="0" w:type="dxa"/>
            <w:right w:w="0" w:type="dxa"/>
          </w:tblCellMar>
        </w:tblPrEx>
        <w:trPr>
          <w:trHeight w:val="580" w:hRule="atLeast"/>
          <w:jc w:val="center"/>
        </w:trPr>
        <w:tc>
          <w:tcPr>
            <w:tcW w:w="8127" w:type="dxa"/>
            <w:gridSpan w:val="4"/>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第二十条第（九）项</w:t>
            </w:r>
          </w:p>
        </w:tc>
      </w:tr>
      <w:tr>
        <w:tblPrEx>
          <w:tblCellMar>
            <w:top w:w="0" w:type="dxa"/>
            <w:left w:w="0" w:type="dxa"/>
            <w:bottom w:w="0" w:type="dxa"/>
            <w:right w:w="0" w:type="dxa"/>
          </w:tblCellMar>
        </w:tblPrEx>
        <w:trPr>
          <w:trHeight w:val="566" w:hRule="atLeast"/>
          <w:jc w:val="center"/>
        </w:trPr>
        <w:tc>
          <w:tcPr>
            <w:tcW w:w="274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4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采购项目数量</w:t>
            </w:r>
          </w:p>
        </w:tc>
        <w:tc>
          <w:tcPr>
            <w:tcW w:w="3540"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采购总金额</w:t>
            </w:r>
          </w:p>
        </w:tc>
      </w:tr>
      <w:tr>
        <w:tblPrEx>
          <w:tblCellMar>
            <w:top w:w="0" w:type="dxa"/>
            <w:left w:w="0" w:type="dxa"/>
            <w:bottom w:w="0" w:type="dxa"/>
            <w:right w:w="0" w:type="dxa"/>
          </w:tblCellMar>
        </w:tblPrEx>
        <w:trPr>
          <w:trHeight w:val="580" w:hRule="atLeast"/>
          <w:jc w:val="center"/>
        </w:trPr>
        <w:tc>
          <w:tcPr>
            <w:tcW w:w="274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政府集中采购</w:t>
            </w:r>
          </w:p>
        </w:tc>
        <w:tc>
          <w:tcPr>
            <w:tcW w:w="184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rPr>
                <w:rFonts w:ascii="宋体" w:hAnsi="宋体" w:cs="宋体"/>
                <w:color w:val="000000"/>
                <w:kern w:val="0"/>
                <w:sz w:val="20"/>
                <w:szCs w:val="20"/>
              </w:rPr>
            </w:pPr>
            <w:r>
              <w:rPr>
                <w:rFonts w:hint="eastAsia" w:ascii="宋体" w:hAnsi="宋体" w:cs="宋体"/>
                <w:color w:val="000000"/>
                <w:kern w:val="0"/>
                <w:sz w:val="20"/>
                <w:szCs w:val="20"/>
              </w:rPr>
              <w:t>　台式电脑2台</w:t>
            </w:r>
          </w:p>
          <w:p>
            <w:pPr>
              <w:widowControl/>
              <w:spacing w:line="600" w:lineRule="exact"/>
              <w:jc w:val="left"/>
              <w:rPr>
                <w:rFonts w:ascii="宋体" w:hAnsi="宋体" w:cs="宋体"/>
                <w:color w:val="000000"/>
                <w:kern w:val="0"/>
                <w:sz w:val="20"/>
                <w:szCs w:val="20"/>
              </w:rPr>
            </w:pPr>
            <w:r>
              <w:rPr>
                <w:rFonts w:hint="eastAsia" w:ascii="宋体" w:hAnsi="宋体" w:cs="宋体"/>
                <w:color w:val="000000"/>
                <w:kern w:val="0"/>
                <w:sz w:val="20"/>
                <w:szCs w:val="20"/>
              </w:rPr>
              <w:t>笔记本电脑3台</w:t>
            </w:r>
          </w:p>
          <w:p>
            <w:pPr>
              <w:widowControl/>
              <w:spacing w:line="600" w:lineRule="exact"/>
              <w:jc w:val="center"/>
            </w:pPr>
            <w:r>
              <w:rPr>
                <w:rFonts w:hint="eastAsia" w:ascii="宋体" w:hAnsi="宋体" w:cs="宋体"/>
                <w:color w:val="000000"/>
                <w:kern w:val="0"/>
                <w:sz w:val="20"/>
                <w:szCs w:val="20"/>
              </w:rPr>
              <w:t>PAD 420台</w:t>
            </w:r>
          </w:p>
        </w:tc>
        <w:tc>
          <w:tcPr>
            <w:tcW w:w="3540"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spacing w:line="600" w:lineRule="exact"/>
              <w:jc w:val="center"/>
              <w:rPr>
                <w:rFonts w:ascii="宋体"/>
                <w:sz w:val="24"/>
                <w:szCs w:val="24"/>
              </w:rPr>
            </w:pPr>
            <w:r>
              <w:rPr>
                <w:rFonts w:hint="eastAsia" w:ascii="宋体"/>
                <w:sz w:val="24"/>
                <w:szCs w:val="24"/>
              </w:rPr>
              <w:t>72万元</w:t>
            </w:r>
          </w:p>
        </w:tc>
      </w:tr>
    </w:tbl>
    <w:p>
      <w:pPr>
        <w:rPr>
          <w:rFonts w:asciiTheme="minorEastAsia" w:hAnsiTheme="minorEastAsia" w:eastAsiaTheme="minorEastAsia"/>
          <w:b/>
          <w:sz w:val="28"/>
          <w:szCs w:val="28"/>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三、收到和处理政府信息公开申请情况</w:t>
      </w:r>
    </w:p>
    <w:p>
      <w:pPr>
        <w:rPr>
          <w:rFonts w:asciiTheme="minorEastAsia" w:hAnsiTheme="minorEastAsia" w:eastAsiaTheme="minorEastAsia"/>
          <w:b/>
          <w:sz w:val="28"/>
          <w:szCs w:val="28"/>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855"/>
        <w:gridCol w:w="2089"/>
        <w:gridCol w:w="814"/>
        <w:gridCol w:w="756"/>
        <w:gridCol w:w="756"/>
        <w:gridCol w:w="815"/>
        <w:gridCol w:w="976"/>
        <w:gridCol w:w="713"/>
        <w:gridCol w:w="6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（本列数据的勾稽关系为：第一项加第二项之和，等于第三项加第四项之和）</w:t>
            </w:r>
          </w:p>
        </w:tc>
        <w:tc>
          <w:tcPr>
            <w:tcW w:w="5509"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自然人</w:t>
            </w:r>
          </w:p>
        </w:tc>
        <w:tc>
          <w:tcPr>
            <w:tcW w:w="401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法人或其他组织</w:t>
            </w:r>
          </w:p>
        </w:tc>
        <w:tc>
          <w:tcPr>
            <w:tcW w:w="67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商业企业</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科研机构</w:t>
            </w:r>
          </w:p>
        </w:tc>
        <w:tc>
          <w:tcPr>
            <w:tcW w:w="8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社会公益组织</w:t>
            </w:r>
          </w:p>
        </w:tc>
        <w:tc>
          <w:tcPr>
            <w:tcW w:w="9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法律服务机构</w:t>
            </w:r>
          </w:p>
        </w:tc>
        <w:tc>
          <w:tcPr>
            <w:tcW w:w="7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其他</w:t>
            </w:r>
          </w:p>
        </w:tc>
        <w:tc>
          <w:tcPr>
            <w:tcW w:w="67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宋体" w:hAnsi="宋体" w:cs="宋体"/>
                <w:kern w:val="0"/>
                <w:sz w:val="20"/>
                <w:szCs w:val="20"/>
              </w:rPr>
              <w:t>一、本年新收政府信息公开申请数量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宋体" w:hAnsi="宋体" w:cs="宋体"/>
                <w:kern w:val="0"/>
                <w:sz w:val="20"/>
                <w:szCs w:val="20"/>
              </w:rPr>
              <w:t>二、上年结转政府信息公开申请数量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宋体" w:hAnsi="宋体" w:cs="宋体"/>
                <w:kern w:val="0"/>
                <w:sz w:val="20"/>
                <w:szCs w:val="20"/>
              </w:rPr>
              <w:t>三、本年度办理结果</w:t>
            </w:r>
          </w:p>
        </w:tc>
        <w:tc>
          <w:tcPr>
            <w:tcW w:w="294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（一）予以公开</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94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（二）部分公开（区分处理的，只计这一情形，不计其他情形）</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（三）不予公开</w:t>
            </w: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1.属于国家秘密</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2.其他法律行政法规禁止公开</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3.危及“三安全一稳定”</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4.保护第三方合法权益</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5.属于三类内部事务信息</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6.属于四类过程性信息</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7.属于行政执法案卷</w:t>
            </w:r>
          </w:p>
        </w:tc>
        <w:tc>
          <w:tcPr>
            <w:tcW w:w="8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8.属于行政查询事项</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（四）无法提供</w:t>
            </w: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1.本机关不掌握相关政府信息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2.没有现成信息需要另行制作</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3.补正后申请内容仍不明确</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（五）不予处理</w:t>
            </w: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1.信访举报投诉类申请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2.重复申请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3.要求提供公开出版物</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4.无正当理由大量反复申请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5.要求行政机关确认或重新出具已获取信息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94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（六）其他处理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94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（七）总计</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宋体" w:hAnsi="宋体" w:cs="宋体"/>
                <w:kern w:val="0"/>
                <w:sz w:val="20"/>
                <w:szCs w:val="20"/>
              </w:rPr>
              <w:t>四、结转下年度继续办理</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cs="Calibri" w:eastAsiaTheme="minorEastAsia"/>
                <w:kern w:val="0"/>
                <w:sz w:val="20"/>
                <w:szCs w:val="20"/>
              </w:rPr>
              <w:t> </w:t>
            </w:r>
            <w:r>
              <w:rPr>
                <w:rFonts w:hint="eastAsia" w:cs="Calibri" w:eastAsiaTheme="minorEastAsia"/>
                <w:kern w:val="0"/>
                <w:sz w:val="20"/>
                <w:szCs w:val="20"/>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r>
              <w:rPr>
                <w:rFonts w:hint="eastAsia" w:ascii="宋体"/>
                <w:sz w:val="24"/>
                <w:szCs w:val="24"/>
              </w:rPr>
              <w:t>0</w:t>
            </w:r>
          </w:p>
        </w:tc>
      </w:tr>
    </w:tbl>
    <w:p>
      <w:pPr>
        <w:pStyle w:val="5"/>
        <w:shd w:val="clear" w:color="auto" w:fill="FFFFFF"/>
        <w:spacing w:beforeAutospacing="0" w:afterAutospacing="0" w:line="600" w:lineRule="exact"/>
        <w:ind w:firstLine="420"/>
        <w:jc w:val="both"/>
        <w:rPr>
          <w:color w:val="333333"/>
        </w:rPr>
      </w:pPr>
    </w:p>
    <w:p>
      <w:pPr>
        <w:rPr>
          <w:b/>
          <w:sz w:val="28"/>
          <w:szCs w:val="28"/>
        </w:rPr>
      </w:pPr>
      <w:r>
        <w:rPr>
          <w:rFonts w:hint="eastAsia"/>
          <w:b/>
          <w:sz w:val="28"/>
          <w:szCs w:val="28"/>
        </w:rPr>
        <w:t>四、政府信息公开行政复议、行政诉讼情况</w:t>
      </w:r>
    </w:p>
    <w:p>
      <w:pPr>
        <w:pStyle w:val="5"/>
        <w:shd w:val="clear" w:color="auto" w:fill="FFFFFF"/>
        <w:spacing w:beforeAutospacing="0" w:afterAutospacing="0" w:line="600" w:lineRule="exact"/>
        <w:ind w:firstLine="420"/>
        <w:jc w:val="both"/>
        <w:rPr>
          <w:color w:val="333333"/>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cs="Calibri" w:eastAsiaTheme="minorEastAsia"/>
                <w:kern w:val="0"/>
                <w:sz w:val="20"/>
                <w:szCs w:val="20"/>
              </w:rPr>
              <w:t> </w:t>
            </w:r>
            <w:r>
              <w:rPr>
                <w:rFonts w:hint="eastAsia" w:cs="Calibri" w:eastAsiaTheme="minorEastAsia"/>
                <w:kern w:val="0"/>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cs="Calibri" w:eastAsiaTheme="minorEastAsia"/>
                <w:kern w:val="0"/>
                <w:sz w:val="20"/>
                <w:szCs w:val="20"/>
              </w:rPr>
              <w:t>0</w:t>
            </w:r>
            <w:r>
              <w:rPr>
                <w:rFonts w:cs="Calibri" w:eastAsiaTheme="minorEastAsia"/>
                <w:kern w:val="0"/>
                <w:sz w:val="20"/>
                <w:szCs w:val="20"/>
              </w:rPr>
              <w:t>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0 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r>
              <w:rPr>
                <w:rFonts w:hint="eastAsia" w:ascii="宋体"/>
                <w:sz w:val="24"/>
                <w:szCs w:val="24"/>
              </w:rPr>
              <w:t>0</w:t>
            </w:r>
          </w:p>
        </w:tc>
      </w:tr>
    </w:tbl>
    <w:p>
      <w:pPr>
        <w:widowControl/>
        <w:shd w:val="clear" w:color="auto" w:fill="FFFFFF"/>
        <w:spacing w:line="600" w:lineRule="exact"/>
        <w:jc w:val="center"/>
        <w:rPr>
          <w:rFonts w:ascii="宋体" w:hAnsi="宋体" w:cs="宋体"/>
          <w:color w:val="333333"/>
          <w:sz w:val="24"/>
          <w:szCs w:val="24"/>
        </w:rPr>
      </w:pPr>
    </w:p>
    <w:p>
      <w:pPr>
        <w:rPr>
          <w:b/>
          <w:sz w:val="28"/>
          <w:szCs w:val="28"/>
        </w:rPr>
      </w:pPr>
    </w:p>
    <w:p>
      <w:pPr>
        <w:ind w:firstLine="551" w:firstLineChars="196"/>
        <w:rPr>
          <w:b/>
          <w:sz w:val="28"/>
          <w:szCs w:val="28"/>
        </w:rPr>
      </w:pPr>
      <w:r>
        <w:rPr>
          <w:rFonts w:hint="eastAsia"/>
          <w:b/>
          <w:sz w:val="28"/>
          <w:szCs w:val="28"/>
        </w:rPr>
        <w:t>五、存在的主要问题及改进情况</w:t>
      </w:r>
    </w:p>
    <w:p>
      <w:pPr>
        <w:ind w:firstLine="562" w:firstLineChars="200"/>
        <w:rPr>
          <w:b/>
          <w:sz w:val="28"/>
          <w:szCs w:val="28"/>
        </w:rPr>
      </w:pPr>
      <w:r>
        <w:rPr>
          <w:rFonts w:hint="eastAsia"/>
          <w:b/>
          <w:sz w:val="28"/>
          <w:szCs w:val="28"/>
        </w:rPr>
        <w:t>（一）工作中存在的主要问题</w:t>
      </w:r>
    </w:p>
    <w:p>
      <w:pPr>
        <w:rPr>
          <w:sz w:val="28"/>
          <w:szCs w:val="28"/>
        </w:rPr>
      </w:pPr>
      <w:r>
        <w:rPr>
          <w:rFonts w:hint="eastAsia"/>
          <w:sz w:val="28"/>
          <w:szCs w:val="28"/>
        </w:rPr>
        <w:t>　　2020年，我局政府信息公开工作虽然取得了新的进展和成效，但主动公开内容和形式还有待丰富和拓宽，政务公开的时限性有待进一步加强。</w:t>
      </w:r>
    </w:p>
    <w:p>
      <w:pPr>
        <w:rPr>
          <w:b/>
          <w:sz w:val="28"/>
          <w:szCs w:val="28"/>
        </w:rPr>
      </w:pPr>
      <w:r>
        <w:rPr>
          <w:rFonts w:hint="eastAsia"/>
          <w:sz w:val="28"/>
          <w:szCs w:val="28"/>
        </w:rPr>
        <w:t xml:space="preserve">    </w:t>
      </w:r>
      <w:r>
        <w:rPr>
          <w:rFonts w:hint="eastAsia"/>
          <w:b/>
          <w:sz w:val="28"/>
          <w:szCs w:val="28"/>
        </w:rPr>
        <w:t xml:space="preserve"> （二）具体的解决办法和改进措施</w:t>
      </w:r>
      <w:r>
        <w:rPr>
          <w:b/>
          <w:sz w:val="28"/>
          <w:szCs w:val="28"/>
        </w:rPr>
        <w:tab/>
      </w:r>
    </w:p>
    <w:p>
      <w:pPr>
        <w:ind w:firstLine="560" w:firstLineChars="200"/>
        <w:rPr>
          <w:sz w:val="28"/>
          <w:szCs w:val="28"/>
        </w:rPr>
      </w:pPr>
      <w:r>
        <w:rPr>
          <w:rFonts w:hint="eastAsia"/>
          <w:sz w:val="28"/>
          <w:szCs w:val="28"/>
        </w:rPr>
        <w:t>在今后的工作中，我局将在深化完善和巩固提高上下功夫,加大政府信息公开的力度，扩大政府信息公开内容，进一步拓宽信息来源渠道，并结合工作实际，健全政务信息公开制度，创新工作思路，建立政府信息公开长效机制，加强队伍建设，建立激励机制，采取切实有效的办法，提高相关人员的业务能力，推动我局政府信息公开工作迈上新台阶。</w:t>
      </w:r>
    </w:p>
    <w:p>
      <w:pPr>
        <w:rPr>
          <w:b/>
          <w:sz w:val="28"/>
          <w:szCs w:val="28"/>
        </w:rPr>
      </w:pPr>
    </w:p>
    <w:p>
      <w:pPr>
        <w:ind w:firstLine="551" w:firstLineChars="196"/>
        <w:rPr>
          <w:b/>
          <w:sz w:val="28"/>
          <w:szCs w:val="28"/>
        </w:rPr>
      </w:pPr>
      <w:r>
        <w:rPr>
          <w:rFonts w:hint="eastAsia"/>
          <w:b/>
          <w:sz w:val="28"/>
          <w:szCs w:val="28"/>
        </w:rPr>
        <w:t>六、其他需要报告的事项</w:t>
      </w:r>
    </w:p>
    <w:p>
      <w:pPr>
        <w:ind w:firstLine="560" w:firstLineChars="200"/>
        <w:rPr>
          <w:sz w:val="28"/>
          <w:szCs w:val="28"/>
        </w:rPr>
      </w:pPr>
      <w:r>
        <w:rPr>
          <w:rFonts w:hint="eastAsia"/>
          <w:sz w:val="28"/>
          <w:szCs w:val="28"/>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82"/>
    <w:rsid w:val="00141CB5"/>
    <w:rsid w:val="00145DA8"/>
    <w:rsid w:val="00180635"/>
    <w:rsid w:val="001A7455"/>
    <w:rsid w:val="001C429C"/>
    <w:rsid w:val="001C6585"/>
    <w:rsid w:val="001D3070"/>
    <w:rsid w:val="00251531"/>
    <w:rsid w:val="0031743B"/>
    <w:rsid w:val="00343B17"/>
    <w:rsid w:val="003702FE"/>
    <w:rsid w:val="003B6382"/>
    <w:rsid w:val="003F4062"/>
    <w:rsid w:val="004502EB"/>
    <w:rsid w:val="00470232"/>
    <w:rsid w:val="00472CC9"/>
    <w:rsid w:val="00495802"/>
    <w:rsid w:val="0057149A"/>
    <w:rsid w:val="00674238"/>
    <w:rsid w:val="007E4FBB"/>
    <w:rsid w:val="007F2ABE"/>
    <w:rsid w:val="007F4500"/>
    <w:rsid w:val="00823382"/>
    <w:rsid w:val="00851F79"/>
    <w:rsid w:val="009517D6"/>
    <w:rsid w:val="00981163"/>
    <w:rsid w:val="009A50FC"/>
    <w:rsid w:val="00A12787"/>
    <w:rsid w:val="00A44F8E"/>
    <w:rsid w:val="00A45FF2"/>
    <w:rsid w:val="00A9577A"/>
    <w:rsid w:val="00B03455"/>
    <w:rsid w:val="00BF72E4"/>
    <w:rsid w:val="00C024BB"/>
    <w:rsid w:val="00C61DAF"/>
    <w:rsid w:val="00D1295F"/>
    <w:rsid w:val="00D40568"/>
    <w:rsid w:val="00DB2052"/>
    <w:rsid w:val="00DB36CE"/>
    <w:rsid w:val="00E07B8A"/>
    <w:rsid w:val="00FA023D"/>
    <w:rsid w:val="00FF1A3E"/>
    <w:rsid w:val="03197D6C"/>
    <w:rsid w:val="307B0568"/>
    <w:rsid w:val="368945D5"/>
    <w:rsid w:val="562A66D8"/>
    <w:rsid w:val="66593DDE"/>
    <w:rsid w:val="6A554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Calibri" w:hAnsi="Calibri" w:cs="黑体"/>
      <w:kern w:val="2"/>
      <w:sz w:val="18"/>
      <w:szCs w:val="18"/>
    </w:rPr>
  </w:style>
  <w:style w:type="character" w:customStyle="1" w:styleId="9">
    <w:name w:val="页脚 Char"/>
    <w:basedOn w:val="7"/>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345</Words>
  <Characters>1967</Characters>
  <Lines>16</Lines>
  <Paragraphs>4</Paragraphs>
  <TotalTime>290</TotalTime>
  <ScaleCrop>false</ScaleCrop>
  <LinksUpToDate>false</LinksUpToDate>
  <CharactersWithSpaces>2308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黄利萍/JIUJIANG</cp:lastModifiedBy>
  <dcterms:modified xsi:type="dcterms:W3CDTF">2021-04-22T08:17:41Z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E5F64822FAB34F5B9833428BA046140D</vt:lpwstr>
  </property>
</Properties>
</file>