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42"/>
        <w:gridCol w:w="2030"/>
        <w:gridCol w:w="2483"/>
        <w:gridCol w:w="5688"/>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000" w:type="pct"/>
            <w:gridSpan w:val="5"/>
            <w:tcBorders>
              <w:top w:val="nil"/>
              <w:left w:val="nil"/>
              <w:bottom w:val="single" w:color="auto" w:sz="4" w:space="0"/>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i w:val="0"/>
                <w:iCs w:val="0"/>
                <w:caps w:val="0"/>
                <w:color w:val="000000" w:themeColor="text1"/>
                <w:spacing w:val="0"/>
                <w:kern w:val="0"/>
                <w:sz w:val="44"/>
                <w:szCs w:val="44"/>
                <w:lang w:val="en-US" w:eastAsia="zh-CN" w:bidi="ar"/>
                <w14:textFill>
                  <w14:solidFill>
                    <w14:schemeClr w14:val="tx1"/>
                  </w14:solidFill>
                </w14:textFill>
              </w:rPr>
            </w:pPr>
            <w:bookmarkStart w:id="0" w:name="_GoBack"/>
            <w:bookmarkEnd w:id="0"/>
            <w:r>
              <w:rPr>
                <w:rFonts w:hint="eastAsia" w:ascii="方正小标宋简体" w:hAnsi="方正小标宋简体" w:eastAsia="方正小标宋简体" w:cs="方正小标宋简体"/>
                <w:i w:val="0"/>
                <w:iCs w:val="0"/>
                <w:caps w:val="0"/>
                <w:color w:val="000000" w:themeColor="text1"/>
                <w:spacing w:val="0"/>
                <w:kern w:val="0"/>
                <w:sz w:val="44"/>
                <w:szCs w:val="44"/>
                <w:lang w:val="en-US" w:eastAsia="zh-CN" w:bidi="ar"/>
                <w14:textFill>
                  <w14:solidFill>
                    <w14:schemeClr w14:val="tx1"/>
                  </w14:solidFill>
                </w14:textFill>
              </w:rPr>
              <w:t>浔阳区行政执法协调监督工作事项清单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62" w:type="pct"/>
            <w:tcBorders>
              <w:top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color w:val="000000" w:themeColor="text1"/>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序号</w:t>
            </w:r>
          </w:p>
        </w:tc>
        <w:tc>
          <w:tcPr>
            <w:tcW w:w="717" w:type="pct"/>
            <w:tcBorders>
              <w:top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事项名称</w:t>
            </w:r>
          </w:p>
        </w:tc>
        <w:tc>
          <w:tcPr>
            <w:tcW w:w="877" w:type="pct"/>
            <w:tcBorders>
              <w:top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设定、行使依据及有关条款</w:t>
            </w:r>
          </w:p>
        </w:tc>
        <w:tc>
          <w:tcPr>
            <w:tcW w:w="2009" w:type="pct"/>
            <w:tcBorders>
              <w:top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color w:val="000000" w:themeColor="text1"/>
                <w:lang w:val="en-US" w:eastAsia="zh-CN"/>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lang w:val="en-US" w:eastAsia="zh-CN" w:bidi="ar"/>
                <w14:textFill>
                  <w14:solidFill>
                    <w14:schemeClr w14:val="tx1"/>
                  </w14:solidFill>
                </w14:textFill>
              </w:rPr>
              <w:t>对应责任事项</w:t>
            </w:r>
          </w:p>
        </w:tc>
        <w:tc>
          <w:tcPr>
            <w:tcW w:w="1132" w:type="pct"/>
            <w:tcBorders>
              <w:top w:val="single" w:color="auto" w:sz="4"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黑体" w:hAnsi="宋体" w:eastAsia="黑体" w:cs="黑体"/>
                <w:i w:val="0"/>
                <w:iCs w:val="0"/>
                <w:caps w:val="0"/>
                <w:color w:val="000000" w:themeColor="text1"/>
                <w:spacing w:val="0"/>
                <w:kern w:val="0"/>
                <w:sz w:val="24"/>
                <w:szCs w:val="24"/>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lang w:val="en-US" w:eastAsia="zh-CN" w:bidi="ar"/>
                <w14:textFill>
                  <w14:solidFill>
                    <w14:schemeClr w14:val="tx1"/>
                  </w14:solidFill>
                </w14:textFill>
              </w:rPr>
              <w:t>追责依据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p>
        </w:tc>
        <w:tc>
          <w:tcPr>
            <w:tcW w:w="717" w:type="pct"/>
            <w:shd w:val="clear" w:color="auto" w:fill="FFFFFF"/>
            <w:tcMar>
              <w:left w:w="105" w:type="dxa"/>
              <w:right w:w="105" w:type="dxa"/>
            </w:tcMar>
            <w:vAlign w:val="center"/>
          </w:tcPr>
          <w:p>
            <w:pPr>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对行政规范性文件的合法性的监督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《江西省行政执法监督实施办法》第八条第（二）项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县级以上人民政府负责规范性文件备案的部门审查发现规范性文件存在问题的，应当按照下列规定进行处理：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（一）与上位法相抵触、越权设定行政权力、越权限制行政管理相对人权利或者增加其义务的，建议制定机关自行纠正；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（二）不同规范性文件对同一事项规定不一致的，依职权组织制定机关进行协调；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（三）违反制定、发布程序的，建议制定机关补正程序后重新发布；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（四）制定机关逾期不纠正或者经协调达不成一致意见的，提出处理意见报本级人民政府决定。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对行政执法主体和程序的合法性进行监督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第四条第（二）项</w:t>
            </w: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对具体行政行为的合法性和合理性进行监督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《江西省行政执法监督实施办法》第八条第（三）项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w:t>
            </w: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行政执法部门作出的下列具体行政行为，应当在作出之日起十五日内将处理决定和结案报告送同级人民政府和上一级行政执法部门备案：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(一)对公民、法人或者其他组织处以的罚款、没收违法所得、没收非法财物达到可以依法要求听证的数额的；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(二)降低资质等级、吊销许可证件、限制开展生产经营活动、责令停产停业、责令关闭、限制从业的；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(三)责令拆除对公民、法人或者其他组织的生产、生活有重大影响的建筑物、构筑物的；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(四)其他重大具体行政行为。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8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备案机关经审查发现具体行政行为违法的，应当作出责令纠正或者撤销的决定。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8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第十三条第二款、第三款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8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对行政执法机关履行法定职责情况进行监督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第四条第（四）项</w:t>
            </w: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对行政执法队伍建设情况进行监督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第四条第（五）项</w:t>
            </w: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对违法行政行为的查处情况进行监督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第四条第（六）项</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对行政复议情况进行监督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第四条第（七）项</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对行政机关发布的行政规范性文件实行备案审查</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第七条第一款</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备案机关经审查发现行政规范性文件有下列问题之一的，应当作出撤销或者限期修改决定：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(一)违背宪法原则，与法律、法规相抵触的；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(二)无法律、法规依据，擅自设置强制措施、许可证制度、审批权、罚款、收费、集资等项目的；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(三)不符合行政规范性文件制定程序的。</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7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9</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对行政机关委托行政执法实行备案</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第九条第一款</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备案机关应当对委托行政执法行为进行认真审查，对违法的委托，有权予以撤销或者责令改正。</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第九条第三款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40"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w:t>
            </w:r>
            <w:r>
              <w:rPr>
                <w:rFonts w:hint="eastAsia" w:ascii="仿宋" w:hAnsi="仿宋" w:eastAsia="仿宋" w:cs="仿宋"/>
                <w:b w:val="0"/>
                <w:bCs w:val="0"/>
                <w:color w:val="000000" w:themeColor="text1"/>
                <w:sz w:val="24"/>
                <w:szCs w:val="24"/>
                <w14:textFill>
                  <w14:solidFill>
                    <w14:schemeClr w14:val="tx1"/>
                  </w14:solidFill>
                </w14:textFill>
              </w:rPr>
              <w:t>法律、法规、规章执行情况</w:t>
            </w:r>
            <w:r>
              <w:rPr>
                <w:rFonts w:hint="eastAsia" w:ascii="仿宋" w:hAnsi="仿宋" w:eastAsia="仿宋" w:cs="仿宋"/>
                <w:b w:val="0"/>
                <w:bCs w:val="0"/>
                <w:color w:val="000000" w:themeColor="text1"/>
                <w:sz w:val="24"/>
                <w:szCs w:val="24"/>
                <w:lang w:val="en-US" w:eastAsia="zh-CN"/>
                <w14:textFill>
                  <w14:solidFill>
                    <w14:schemeClr w14:val="tx1"/>
                  </w14:solidFill>
                </w14:textFill>
              </w:rPr>
              <w:t>的监督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第十一条、第十二条；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《江西省行政执法监督实施办法》第八条第（一）项</w:t>
            </w:r>
          </w:p>
        </w:tc>
        <w:tc>
          <w:tcPr>
            <w:tcW w:w="2009"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0"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11</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对涉企收费行为的合法性进行监督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《江西省行政执法监督实施办法》第八条第（四）项</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行政执法部门有下列情形之一的，由县级以上人民政府视情节轻重给予责令改正、通报批评，由有权机关对直接负责的主管人员和其他直接责任人员依法给予处分；涉嫌犯罪的，移送司法机关依法处理：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（一）利用行政执法权为本单位或者个人谋取私利的；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（二）越权执法或者推诿、放弃法定职责，给公民、法人或者其他组织造成较大经济损失或者造成其他严重后果的；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（三）侵犯公民、法人或者其他组织的合法权益，引起行政赔偿，致使国家利益遭受损失的；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（四）不按照本办法规定将有关事项报送备案的；（五）拒不执行或者无正当理由拖延执行行政执法监督建议或者决定的;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（六）有其他违法行政执法行为的。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违反本办法规定，向企业乱收费或者变相增加企业负担的，由县级以上人民政府财政、价格主管部门依据《中华人民共和国价格法》、《财政违法行为处罚处分条例》等有关法律、法规的规定予以处罚，并依法追究有关人员的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12</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w:t>
            </w:r>
            <w:r>
              <w:rPr>
                <w:rFonts w:hint="eastAsia" w:ascii="仿宋" w:hAnsi="仿宋" w:eastAsia="仿宋" w:cs="仿宋"/>
                <w:b w:val="0"/>
                <w:bCs w:val="0"/>
                <w:color w:val="000000" w:themeColor="text1"/>
                <w:sz w:val="24"/>
                <w:szCs w:val="24"/>
                <w14:textFill>
                  <w14:solidFill>
                    <w14:schemeClr w14:val="tx1"/>
                  </w14:solidFill>
                </w14:textFill>
              </w:rPr>
              <w:t>涉企行政检查行为的合法性和合理性</w:t>
            </w:r>
            <w:r>
              <w:rPr>
                <w:rFonts w:hint="eastAsia" w:ascii="仿宋" w:hAnsi="仿宋" w:eastAsia="仿宋" w:cs="仿宋"/>
                <w:b w:val="0"/>
                <w:bCs w:val="0"/>
                <w:color w:val="000000" w:themeColor="text1"/>
                <w:sz w:val="24"/>
                <w:szCs w:val="24"/>
                <w:lang w:val="en-US" w:eastAsia="zh-CN"/>
                <w14:textFill>
                  <w14:solidFill>
                    <w14:schemeClr w14:val="tx1"/>
                  </w14:solidFill>
                </w14:textFill>
              </w:rPr>
              <w:t>进行监督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《江西省行政执法监督实施办法》第八条第（五）项</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由县级以上人民政府视情节轻重给予责令改正、通报批评，由有权机关对直接负责的主管人员和其他直接责任人员依法给予处分；涉嫌犯罪的，移送司法机关依法处理。</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江西省行政执法监督条例</w:t>
            </w:r>
            <w:r>
              <w:rPr>
                <w:rFonts w:hint="eastAsia" w:ascii="仿宋" w:hAnsi="仿宋" w:eastAsia="仿宋" w:cs="仿宋"/>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第二十一条；《江西省行政执法监督实施办法》第二十五条。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13</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对行政检查计划的监督</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《江西省行政执法监督实施办法》第十九条第一款</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经审查发现行政检查计划存在前款所列问题的，县级以上人民政府负责行政执法监督的部门应当向有关行政执法部门提出处理意见。</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《江西省行政执法监督实施办法》第十九条第二款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14</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专项调查</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《江西省行政执法监督实施办法》第二十一条第一款</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80" w:firstLineChars="200"/>
              <w:jc w:val="both"/>
              <w:textAlignment w:val="cente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调查结束后，专项调查小组应当在十五日内向本级人民政府提出调查报告。调查报告应当包括调查理由、过程、结论、依据以及处理建议等内容。 </w:t>
            </w: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《江西省行政执法监督实施办法》第二十三条第一款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9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15</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对行政复议申请的审查</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《江西省行政执法监督实施办法》第二十四条第一款</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对符合条件的行政复议申请，县级以上人民政府行政复议机构应当依法予以受理，并进行审查。经审查发现具体行政行为有应当被撤销、变更或者确认违法情形的，县级以上人民政府行政复议机构应当提出处理意见，报本级人民政府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对不符合条件的行政复议申请，县级以上人民政府行政复议机构应当及时转送有关部门处理。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《江西省行政执法监督实施办法》第二款、第三款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16</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对行政执法争议的协调</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《江西省行政执法监督条例》第十六条</w:t>
            </w:r>
          </w:p>
        </w:tc>
        <w:tc>
          <w:tcPr>
            <w:tcW w:w="2009" w:type="pct"/>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两个以上行政执法部门在执法过程中出现下列情形之一的，由共同的上一级行政机关协调决定：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(一)对行政执法权限有争议的；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(二)对同一案件的处理意见不一致的；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(三)行政执法部门提出的其他需要协调的行政执法争议。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both"/>
              <w:textAlignment w:val="center"/>
              <w:rPr>
                <w:rFonts w:hint="eastAsia" w:ascii="仿宋" w:hAnsi="仿宋" w:eastAsia="仿宋" w:cs="仿宋"/>
                <w:b w:val="0"/>
                <w:bCs w:val="0"/>
                <w:color w:val="000000" w:themeColor="text1"/>
                <w:sz w:val="24"/>
                <w:szCs w:val="24"/>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《江西省行政执法监督条例》第十六条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5" w:hRule="atLeast"/>
        </w:trPr>
        <w:tc>
          <w:tcPr>
            <w:tcW w:w="26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17</w:t>
            </w:r>
          </w:p>
        </w:tc>
        <w:tc>
          <w:tcPr>
            <w:tcW w:w="71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行政执法证件管理</w:t>
            </w:r>
          </w:p>
        </w:tc>
        <w:tc>
          <w:tcPr>
            <w:tcW w:w="877"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《江西省行政执法证件管理办法》第五条第一款</w:t>
            </w:r>
          </w:p>
        </w:tc>
        <w:tc>
          <w:tcPr>
            <w:tcW w:w="2009" w:type="pct"/>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1.行政执法证件的管理，实行统一领导、分级负责的原则。行政执法证件由县级以上人民政府分级核发，具体工作由县级以上人民政府负责行政执法监督工作的部门负责。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行政执法人员和行政执法监督人员因工作调动、辞职、辞退、退休或者其他原因离开工作岗位的，所在单位在办理有关手续时应当收回其行政执法证件并上交核发证件的政府负责行政执法监督工作的部门予以注销。核发证件的政府负责行政执法监督工作的部门应当在五个工作日内将注销信息上报省人民政府负责行政执法监督工作的部门。行政执法人员、行政执法监督人员的岗位调整的，应当及时换领行政执法证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3.行政执法人员有下列情形之一的，行政执法机关或者县级以上人民政府负责行政执法监督工作的部门可以暂扣其行政执法证件；情节严重的，吊销其行政执法证件；被吊销行政执法证件的，不得再从事行政执法和行政执法监督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（一）未依法履行岗位职责，玩忽职守、滥用行政执法权的；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（二）违反法定程序实施行政执法的；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（三）将行政执法证件交给他人使用或者用于行政执法以外的用途的；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（四）粗暴、野蛮执法的。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p>
        </w:tc>
        <w:tc>
          <w:tcPr>
            <w:tcW w:w="1132" w:type="pct"/>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lang w:val="en-US" w:eastAsia="zh-CN"/>
                <w14:textFill>
                  <w14:solidFill>
                    <w14:schemeClr w14:val="tx1"/>
                  </w14:solidFill>
                </w14:textFill>
              </w:rPr>
              <w:t>《江西省行政执法证件管理办法》第五条第一款、第十七条、第二十条</w:t>
            </w:r>
          </w:p>
        </w:tc>
      </w:tr>
    </w:tbl>
    <w:p>
      <w:pPr>
        <w:rPr>
          <w:rFonts w:hint="eastAsia" w:ascii="仿宋" w:hAnsi="仿宋" w:eastAsia="仿宋" w:cs="仿宋"/>
          <w:color w:val="000000" w:themeColor="text1"/>
          <w:sz w:val="24"/>
          <w:szCs w:val="24"/>
          <w14:textFill>
            <w14:solidFill>
              <w14:schemeClr w14:val="tx1"/>
            </w14:solidFill>
          </w14:textFill>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2B0B2-8988-4841-A8BE-29328236E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7B25CE0-78C3-4E9E-827C-8F6D5E6E418B}"/>
  </w:font>
  <w:font w:name="仿宋">
    <w:panose1 w:val="02010609060101010101"/>
    <w:charset w:val="86"/>
    <w:family w:val="auto"/>
    <w:pitch w:val="default"/>
    <w:sig w:usb0="800002BF" w:usb1="38CF7CFA" w:usb2="00000016" w:usb3="00000000" w:csb0="00040001" w:csb1="00000000"/>
    <w:embedRegular r:id="rId3" w:fontKey="{2A56B26B-6476-4F94-B98A-74FAADB74E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YTdiYmJkMDE0OWIyYjIxNWU5Y2M2OTE5YWI0ODcifQ=="/>
  </w:docVars>
  <w:rsids>
    <w:rsidRoot w:val="00000000"/>
    <w:rsid w:val="04CF23E8"/>
    <w:rsid w:val="04FC31B0"/>
    <w:rsid w:val="05A351AD"/>
    <w:rsid w:val="05E23907"/>
    <w:rsid w:val="06A91D04"/>
    <w:rsid w:val="083365F4"/>
    <w:rsid w:val="08444A26"/>
    <w:rsid w:val="0B4B60CB"/>
    <w:rsid w:val="0DC55E46"/>
    <w:rsid w:val="0E726137"/>
    <w:rsid w:val="0F3155D8"/>
    <w:rsid w:val="0F334030"/>
    <w:rsid w:val="11785740"/>
    <w:rsid w:val="11C42733"/>
    <w:rsid w:val="11DD37F5"/>
    <w:rsid w:val="12686A51"/>
    <w:rsid w:val="13135EB3"/>
    <w:rsid w:val="13201BEB"/>
    <w:rsid w:val="13B24952"/>
    <w:rsid w:val="13BB36C2"/>
    <w:rsid w:val="13FC4407"/>
    <w:rsid w:val="13FF26A7"/>
    <w:rsid w:val="14F35707"/>
    <w:rsid w:val="154170B6"/>
    <w:rsid w:val="15724254"/>
    <w:rsid w:val="18A864A6"/>
    <w:rsid w:val="1B067919"/>
    <w:rsid w:val="1C6B1F34"/>
    <w:rsid w:val="1CAA7CA8"/>
    <w:rsid w:val="1F545621"/>
    <w:rsid w:val="21507D55"/>
    <w:rsid w:val="2425376B"/>
    <w:rsid w:val="268D0EEE"/>
    <w:rsid w:val="26AB75C6"/>
    <w:rsid w:val="279C4A28"/>
    <w:rsid w:val="284E0B51"/>
    <w:rsid w:val="28567B2A"/>
    <w:rsid w:val="287C121A"/>
    <w:rsid w:val="29237601"/>
    <w:rsid w:val="29E7300B"/>
    <w:rsid w:val="2A3B7000"/>
    <w:rsid w:val="2A68414C"/>
    <w:rsid w:val="2BA47406"/>
    <w:rsid w:val="2BC03B14"/>
    <w:rsid w:val="2D4349FC"/>
    <w:rsid w:val="2DF45694"/>
    <w:rsid w:val="2E921798"/>
    <w:rsid w:val="2FA30C22"/>
    <w:rsid w:val="307B44AD"/>
    <w:rsid w:val="33AA7583"/>
    <w:rsid w:val="34BF0E0C"/>
    <w:rsid w:val="35C36B90"/>
    <w:rsid w:val="36581763"/>
    <w:rsid w:val="37DF6106"/>
    <w:rsid w:val="37E82428"/>
    <w:rsid w:val="37F97CD1"/>
    <w:rsid w:val="38607FE4"/>
    <w:rsid w:val="38FA6117"/>
    <w:rsid w:val="39194625"/>
    <w:rsid w:val="398B39B3"/>
    <w:rsid w:val="3AB97A67"/>
    <w:rsid w:val="3AD153F6"/>
    <w:rsid w:val="3B20012B"/>
    <w:rsid w:val="3C4340D1"/>
    <w:rsid w:val="3C7A0A20"/>
    <w:rsid w:val="3D347285"/>
    <w:rsid w:val="3E6D0578"/>
    <w:rsid w:val="3FCE7FB1"/>
    <w:rsid w:val="40290958"/>
    <w:rsid w:val="41105CD2"/>
    <w:rsid w:val="42A86289"/>
    <w:rsid w:val="450B59A8"/>
    <w:rsid w:val="45707D87"/>
    <w:rsid w:val="46B06807"/>
    <w:rsid w:val="471054F8"/>
    <w:rsid w:val="47160D19"/>
    <w:rsid w:val="476D0BB8"/>
    <w:rsid w:val="485F6737"/>
    <w:rsid w:val="496E5D0D"/>
    <w:rsid w:val="4A6B3D94"/>
    <w:rsid w:val="4AE172D6"/>
    <w:rsid w:val="4B3F2BC9"/>
    <w:rsid w:val="4C6F3812"/>
    <w:rsid w:val="50334005"/>
    <w:rsid w:val="504D7DDB"/>
    <w:rsid w:val="51450494"/>
    <w:rsid w:val="524A2E7A"/>
    <w:rsid w:val="52D715BF"/>
    <w:rsid w:val="54AB5BF1"/>
    <w:rsid w:val="581035A9"/>
    <w:rsid w:val="58DF2F7C"/>
    <w:rsid w:val="58F819FE"/>
    <w:rsid w:val="59C56616"/>
    <w:rsid w:val="59D800F7"/>
    <w:rsid w:val="5A225816"/>
    <w:rsid w:val="5BA76D5B"/>
    <w:rsid w:val="5BA858A7"/>
    <w:rsid w:val="5BAD17C9"/>
    <w:rsid w:val="5C2D014B"/>
    <w:rsid w:val="5C583698"/>
    <w:rsid w:val="5C6953BD"/>
    <w:rsid w:val="5E720E9D"/>
    <w:rsid w:val="5ED24B49"/>
    <w:rsid w:val="5F2913F5"/>
    <w:rsid w:val="60340051"/>
    <w:rsid w:val="6062071A"/>
    <w:rsid w:val="61E17ECD"/>
    <w:rsid w:val="62C23875"/>
    <w:rsid w:val="62E93766"/>
    <w:rsid w:val="645C0C59"/>
    <w:rsid w:val="64993547"/>
    <w:rsid w:val="65DF4439"/>
    <w:rsid w:val="666302FA"/>
    <w:rsid w:val="66706D80"/>
    <w:rsid w:val="6ACB4BC3"/>
    <w:rsid w:val="6B0D5727"/>
    <w:rsid w:val="6B7D2B49"/>
    <w:rsid w:val="6BFF7765"/>
    <w:rsid w:val="6D3572F2"/>
    <w:rsid w:val="6FF529BC"/>
    <w:rsid w:val="7040659E"/>
    <w:rsid w:val="72FD6538"/>
    <w:rsid w:val="77310F2F"/>
    <w:rsid w:val="77BE0D98"/>
    <w:rsid w:val="79700F04"/>
    <w:rsid w:val="7A5F5873"/>
    <w:rsid w:val="7B08634A"/>
    <w:rsid w:val="7B8A0CE4"/>
    <w:rsid w:val="7C741AA9"/>
    <w:rsid w:val="7CAB4D9F"/>
    <w:rsid w:val="7E58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262</Words>
  <Characters>265</Characters>
  <Lines>0</Lines>
  <Paragraphs>0</Paragraphs>
  <TotalTime>7</TotalTime>
  <ScaleCrop>false</ScaleCrop>
  <LinksUpToDate>false</LinksUpToDate>
  <CharactersWithSpaces>345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2024-09-24T01:59:00Z</dcterms:created>
  <dc:creator>A</dc:creator>
  <cp:lastModifiedBy>qq</cp:lastModifiedBy>
  <cp:lastPrinted>2024-09-30T03:16:00Z</cp:lastPrinted>
  <dcterms:modified xsi:type="dcterms:W3CDTF">2025-01-03T02:05:39Z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C26222AA084046F6B52E0D4E4CF3A575_12</vt:lpwstr>
  </property>
</Properties>
</file>