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76"/>
        <w:gridCol w:w="601"/>
        <w:gridCol w:w="1615"/>
        <w:gridCol w:w="1376"/>
        <w:gridCol w:w="612"/>
        <w:gridCol w:w="847"/>
        <w:gridCol w:w="1137"/>
        <w:gridCol w:w="553"/>
        <w:gridCol w:w="618"/>
        <w:gridCol w:w="766"/>
        <w:gridCol w:w="1017"/>
        <w:gridCol w:w="2065"/>
        <w:gridCol w:w="2245"/>
      </w:tblGrid>
      <w:tr w14:paraId="5A0E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39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bookmarkStart w:id="0" w:name="_GoBack" w:colFirst="0" w:colLast="9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项目支出绩效自评表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84DC903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4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A7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（2023年度）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41651A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5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2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下达2023年中央和省级福彩公益金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64A31C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6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九江市浔阳区民政局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九江市浔阳区民政局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CF5B96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1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C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全年预算数A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全年执行数B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B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6E293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E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年度资金总额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27.938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48.59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57891A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E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政府预算资金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F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27.938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48.59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92985E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7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5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B88CA1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8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E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优化社区养老服务供给，加大民办养老机构扶持力度，引导社会力量参与养老服务发展，进一步提升养老服务质量，增强养老机构防范风险能力。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根据九财社指【2023】4号《关于下达2023年中央和省级彩票公益金支持社会福利事业专项资金预算的通知》的文件要求，已按规定用于老年人福利、残疾人福利、儿童福利、社会公益等方面支出。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02BBCE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E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00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D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三级指标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85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BDD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及改进措施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22394B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7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CB3D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项目补助金额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控制在预算范围内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部分实现目标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项目如实进行中，因财政资金尚未拨付，导致实际完成值偏低。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0363F2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E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7C34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5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88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4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0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D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4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1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2CFD9C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E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690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0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D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6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9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7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3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998CEA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E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997D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孤儿助学人数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＝3人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2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4361DD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2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6EC1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52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B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社工站建设个数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＝2个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A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2CD357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7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13FF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02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D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7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支持精神障碍社区康复机构数量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＝1个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6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099C16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3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E937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8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推进社区养老服务设施覆盖率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0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118477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3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EFE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8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项目建设完成率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E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997AD6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9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B503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3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补助资金下达分配时效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≤30天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3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3F95D1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C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00CF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FC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9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E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1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A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64C181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2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30F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3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F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养老机构照料护理等服务能力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6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稳步提升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基本达成目标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1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CD8BC0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8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C365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5E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23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5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E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F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F7C6BE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1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925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F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3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839F79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B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3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2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6844B8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F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34038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63AD29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B96CC6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51B04BAF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1636550A"/>
    <w:rsid w:val="244439C8"/>
    <w:rsid w:val="488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2024-10-17T04:02:24Z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E1E9FED9EE2A4F998325B81D444F3536_13</vt:lpwstr>
  </property>
</Properties>
</file>