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394"/>
          <w:tab w:val="left" w:pos="5620"/>
        </w:tabs>
        <w:autoSpaceDE w:val="0"/>
        <w:autoSpaceDN w:val="0"/>
        <w:rPr>
          <w:rFonts w:ascii="黑体" w:hAnsi="黑体" w:eastAsia="黑体" w:cs="黑体"/>
          <w:color w:val="000000" w:themeColor="text1"/>
          <w:szCs w:val="32"/>
          <w14:textFill>
            <w14:solidFill>
              <w14:schemeClr w14:val="tx1"/>
            </w14:solidFill>
          </w14:textFill>
        </w:rPr>
      </w:pPr>
      <w:bookmarkStart w:id="0" w:name="_GoBack"/>
      <w:r>
        <w:rPr>
          <w:rFonts w:hint="eastAsia" w:ascii="黑体" w:hAnsi="黑体" w:eastAsia="黑体" w:cs="黑体"/>
          <w:color w:val="000000" w:themeColor="text1"/>
          <w:szCs w:val="32"/>
          <w:lang w:val="zh-CN"/>
          <w14:textFill>
            <w14:solidFill>
              <w14:schemeClr w14:val="tx1"/>
            </w14:solidFill>
          </w14:textFill>
        </w:rPr>
        <w:t>附件</w:t>
      </w:r>
      <w:r>
        <w:rPr>
          <w:rFonts w:hint="eastAsia" w:ascii="黑体" w:hAnsi="黑体" w:eastAsia="黑体" w:cs="黑体"/>
          <w:color w:val="000000" w:themeColor="text1"/>
          <w:szCs w:val="32"/>
          <w14:textFill>
            <w14:solidFill>
              <w14:schemeClr w14:val="tx1"/>
            </w14:solidFill>
          </w14:textFill>
        </w:rPr>
        <w:t>1</w:t>
      </w:r>
    </w:p>
    <w:p>
      <w:pPr>
        <w:tabs>
          <w:tab w:val="center" w:pos="4394"/>
          <w:tab w:val="left" w:pos="5620"/>
        </w:tabs>
        <w:autoSpaceDE w:val="0"/>
        <w:autoSpaceDN w:val="0"/>
        <w:spacing w:line="700" w:lineRule="exact"/>
        <w:jc w:val="center"/>
        <w:rPr>
          <w:rFonts w:ascii="方正小标宋简体" w:hAnsi="方正小标宋简体" w:eastAsia="方正小标宋简体" w:cs="方正小标宋简体"/>
          <w:color w:val="000000" w:themeColor="text1"/>
          <w:sz w:val="44"/>
          <w:szCs w:val="44"/>
          <w:lang w:val="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lang w:val="zh-CN"/>
          <w14:textFill>
            <w14:solidFill>
              <w14:schemeClr w14:val="tx1"/>
            </w14:solidFill>
          </w14:textFill>
        </w:rPr>
        <w:t>年度九江市科技计划项目申报指南</w:t>
      </w:r>
      <w:bookmarkEnd w:id="0"/>
    </w:p>
    <w:p>
      <w:pPr>
        <w:pStyle w:val="8"/>
        <w:adjustRightInd/>
        <w:spacing w:line="700" w:lineRule="exact"/>
        <w:ind w:firstLine="640" w:firstLineChars="200"/>
        <w:jc w:val="both"/>
        <w:rPr>
          <w:rFonts w:hAnsi="仿宋_GB2312"/>
          <w:color w:val="000000" w:themeColor="text1"/>
          <w:sz w:val="32"/>
          <w:szCs w:val="32"/>
          <w14:textFill>
            <w14:solidFill>
              <w14:schemeClr w14:val="tx1"/>
            </w14:solidFill>
          </w14:textFill>
        </w:rPr>
      </w:pP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为深入贯彻党的二十届三中全会精神和习近平总书记考察江西重要讲话精神，全面落实全市科技大会精神和市委、市政府关于科技创新决策部署，紧紧围绕“三大攻坚行动”，聚焦制造业“9610”工程，积极实施科技计划项目，为高标准高质量建设长江经济带重要节点城市，</w:t>
      </w:r>
      <w:r>
        <w:rPr>
          <w:rFonts w:hAnsi="仿宋_GB2312"/>
          <w:color w:val="000000" w:themeColor="text1"/>
          <w:sz w:val="32"/>
          <w:szCs w:val="32"/>
          <w14:textFill>
            <w14:solidFill>
              <w14:schemeClr w14:val="tx1"/>
            </w14:solidFill>
          </w14:textFill>
        </w:rPr>
        <w:t>打造“三个区域中心”</w:t>
      </w:r>
      <w:r>
        <w:rPr>
          <w:rFonts w:hint="eastAsia" w:hAnsi="仿宋_GB2312"/>
          <w:color w:val="000000" w:themeColor="text1"/>
          <w:sz w:val="32"/>
          <w:szCs w:val="32"/>
          <w14:textFill>
            <w14:solidFill>
              <w14:schemeClr w14:val="tx1"/>
            </w14:solidFill>
          </w14:textFill>
        </w:rPr>
        <w:t>、</w:t>
      </w:r>
      <w:r>
        <w:rPr>
          <w:rFonts w:hAnsi="仿宋_GB2312"/>
          <w:color w:val="000000" w:themeColor="text1"/>
          <w:sz w:val="32"/>
          <w:szCs w:val="32"/>
          <w14:textFill>
            <w14:solidFill>
              <w14:schemeClr w14:val="tx1"/>
            </w14:solidFill>
          </w14:textFill>
        </w:rPr>
        <w:t>建设“一个美好家园”提供有力科技支撑</w:t>
      </w:r>
      <w:r>
        <w:rPr>
          <w:rFonts w:hint="eastAsia" w:hAnsi="仿宋_GB2312"/>
          <w:color w:val="000000" w:themeColor="text1"/>
          <w:sz w:val="32"/>
          <w:szCs w:val="32"/>
          <w14:textFill>
            <w14:solidFill>
              <w14:schemeClr w14:val="tx1"/>
            </w14:solidFill>
          </w14:textFill>
        </w:rPr>
        <w:t>，特制定2025年度市科技计划项目申报指南。</w:t>
      </w:r>
    </w:p>
    <w:p>
      <w:pPr>
        <w:pStyle w:val="8"/>
        <w:keepNext w:val="0"/>
        <w:keepLines w:val="0"/>
        <w:pageBreakBefore w:val="0"/>
        <w:widowControl w:val="0"/>
        <w:kinsoku/>
        <w:wordWrap/>
        <w:overflowPunct/>
        <w:topLinePunct w:val="0"/>
        <w:bidi w:val="0"/>
        <w:adjustRightInd/>
        <w:snapToGrid/>
        <w:spacing w:line="540" w:lineRule="exact"/>
        <w:ind w:firstLine="624" w:firstLineChars="195"/>
        <w:jc w:val="both"/>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一、科技重大专项（</w:t>
      </w:r>
      <w:r>
        <w:rPr>
          <w:rFonts w:hint="eastAsia" w:ascii="黑体" w:hAnsi="黑体" w:eastAsia="黑体"/>
          <w:bCs/>
          <w:color w:val="000000" w:themeColor="text1"/>
          <w:sz w:val="32"/>
          <w:szCs w:val="32"/>
          <w:lang w:eastAsia="zh-CN"/>
          <w14:textFill>
            <w14:solidFill>
              <w14:schemeClr w14:val="tx1"/>
            </w14:solidFill>
          </w14:textFill>
        </w:rPr>
        <w:t>重大技术攻关</w:t>
      </w:r>
      <w:r>
        <w:rPr>
          <w:rFonts w:hint="eastAsia" w:ascii="黑体" w:hAnsi="黑体" w:eastAsia="黑体"/>
          <w:bCs/>
          <w:color w:val="000000" w:themeColor="text1"/>
          <w:sz w:val="32"/>
          <w:szCs w:val="32"/>
          <w14:textFill>
            <w14:solidFill>
              <w14:schemeClr w14:val="tx1"/>
            </w14:solidFill>
          </w14:textFill>
        </w:rPr>
        <w:t>“揭榜挂帅”）</w:t>
      </w:r>
    </w:p>
    <w:p>
      <w:pPr>
        <w:pStyle w:val="8"/>
        <w:keepNext w:val="0"/>
        <w:keepLines w:val="0"/>
        <w:pageBreakBefore w:val="0"/>
        <w:widowControl w:val="0"/>
        <w:kinsoku/>
        <w:wordWrap/>
        <w:overflowPunct/>
        <w:topLinePunct w:val="0"/>
        <w:bidi w:val="0"/>
        <w:adjustRightInd/>
        <w:snapToGrid/>
        <w:spacing w:line="540" w:lineRule="exact"/>
        <w:ind w:firstLine="642"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（一）技术需求企业条件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（1）市内注册、具有独立法人资格且有技术难题或重大技术需求的行业龙头骨干企业或科技领军（入库）企业、高成长性科技型企业、高新技术企业，2024年度研发投入经费不低于500万元；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（2）具备良好的社会信用，三年之内无违背科研诚信行为记录及科研部门实施联合惩戒的社会失信行为记录；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（3）技术需求应聚焦本行业、本企业发展的“卡脖子”等前沿技术、关键核心技术、关键零部件、重要关键工艺和方法等，通过项目实施，能显著提升本行业的核心竞争力；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（4）提出的技术需求应有明确的技术目标内容、考核指标、完成时限（一般不超过2年）、产权归属、资金投入及对揭榜方的条件要求等，相关技术目标内容及指标应清晰、可量化、可考核；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（5）须承诺并有能力保障项目的投入，提供项目研发的资金、人员、地点、设备等基本条件；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hAnsi="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（6）已承担了市级“揭榜挂帅”项目还未验收的企业不得报送。</w:t>
      </w:r>
    </w:p>
    <w:p>
      <w:pPr>
        <w:pStyle w:val="8"/>
        <w:keepNext w:val="0"/>
        <w:keepLines w:val="0"/>
        <w:pageBreakBefore w:val="0"/>
        <w:widowControl w:val="0"/>
        <w:kinsoku/>
        <w:wordWrap/>
        <w:overflowPunct/>
        <w:topLinePunct w:val="0"/>
        <w:bidi w:val="0"/>
        <w:adjustRightInd/>
        <w:snapToGrid/>
        <w:spacing w:line="540" w:lineRule="exact"/>
        <w:ind w:firstLine="642"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（二）重点支持范围</w:t>
      </w:r>
    </w:p>
    <w:p>
      <w:pPr>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int="eastAsia"/>
          <w:color w:val="000000" w:themeColor="text1"/>
          <w:spacing w:val="-6"/>
          <w:kern w:val="0"/>
          <w:sz w:val="32"/>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聚焦我市装备制造（船舶</w:t>
      </w:r>
      <w:r>
        <w:rPr>
          <w:rFonts w:hint="eastAsia" w:ascii="仿宋_GB2312" w:hAnsi="仿宋_GB2312" w:cs="仿宋_GB2312"/>
          <w:color w:val="000000" w:themeColor="text1"/>
          <w:kern w:val="2"/>
          <w:sz w:val="32"/>
          <w:szCs w:val="32"/>
          <w:lang w:val="en-US" w:eastAsia="zh-CN" w:bidi="ar-SA"/>
          <w14:textFill>
            <w14:solidFill>
              <w14:schemeClr w14:val="tx1"/>
            </w14:solidFill>
          </w14:textFill>
        </w:rPr>
        <w:t>等</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）、电子信息、有色金属、新能源、石化化工、钢铁、建材、食品、纺织服装、航运物流、文化旅游等重点产业链，以及未来产业（低空经济、氢能、核技术应用、人工智能、生命健康、量子通信等）</w:t>
      </w:r>
      <w:r>
        <w:rPr>
          <w:rFonts w:hint="eastAsia"/>
          <w:color w:val="000000" w:themeColor="text1"/>
          <w:kern w:val="0"/>
          <w14:textFill>
            <w14:solidFill>
              <w14:schemeClr w14:val="tx1"/>
            </w14:solidFill>
          </w14:textFill>
        </w:rPr>
        <w:t>，征集和遴选一批关键核心技术难题和重大技术需求</w:t>
      </w:r>
      <w:r>
        <w:rPr>
          <w:rFonts w:hint="eastAsia"/>
          <w:color w:val="000000" w:themeColor="text1"/>
          <w:spacing w:val="-6"/>
          <w:kern w:val="0"/>
          <w:sz w:val="32"/>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（三）申报材料</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1.“揭榜挂帅”企业重大技术需求征集表；2.“揭榜挂帅”企业重大技术需求征集汇总表；3.申报单位法人营业执照；4.其他相关附件材料。</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color w:val="000000" w:themeColor="text1"/>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 xml:space="preserve">（四）牵头科室  </w:t>
      </w:r>
      <w:r>
        <w:rPr>
          <w:rFonts w:hint="eastAsia" w:ascii="仿宋_GB2312" w:hAnsi="仿宋_GB2312" w:eastAsia="楷体_GB2312" w:cs="仿宋_GB2312"/>
          <w:color w:val="000000" w:themeColor="text1"/>
          <w:szCs w:val="32"/>
          <w14:textFill>
            <w14:solidFill>
              <w14:schemeClr w14:val="tx1"/>
            </w14:solidFill>
          </w14:textFill>
        </w:rPr>
        <w:t>规划</w:t>
      </w:r>
      <w:r>
        <w:rPr>
          <w:rFonts w:hint="eastAsia" w:ascii="仿宋_GB2312" w:hAnsi="仿宋_GB2312" w:cs="仿宋_GB2312"/>
          <w:color w:val="000000" w:themeColor="text1"/>
          <w:szCs w:val="32"/>
          <w14:textFill>
            <w14:solidFill>
              <w14:schemeClr w14:val="tx1"/>
            </w14:solidFill>
          </w14:textFill>
        </w:rPr>
        <w:t>科。</w:t>
      </w:r>
    </w:p>
    <w:p>
      <w:pPr>
        <w:pStyle w:val="8"/>
        <w:keepNext w:val="0"/>
        <w:keepLines w:val="0"/>
        <w:pageBreakBefore w:val="0"/>
        <w:widowControl w:val="0"/>
        <w:kinsoku/>
        <w:wordWrap/>
        <w:overflowPunct/>
        <w:topLinePunct w:val="0"/>
        <w:bidi w:val="0"/>
        <w:adjustRightInd/>
        <w:snapToGrid/>
        <w:spacing w:line="540" w:lineRule="exact"/>
        <w:ind w:firstLine="624" w:firstLineChars="195"/>
        <w:jc w:val="both"/>
        <w:textAlignment w:val="auto"/>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二、基础研究计划（自然科学基金计划）</w:t>
      </w:r>
    </w:p>
    <w:p>
      <w:pPr>
        <w:pStyle w:val="8"/>
        <w:keepNext w:val="0"/>
        <w:keepLines w:val="0"/>
        <w:pageBreakBefore w:val="0"/>
        <w:widowControl w:val="0"/>
        <w:kinsoku/>
        <w:wordWrap/>
        <w:overflowPunct/>
        <w:topLinePunct w:val="0"/>
        <w:bidi w:val="0"/>
        <w:adjustRightInd/>
        <w:snapToGrid/>
        <w:spacing w:line="540" w:lineRule="exact"/>
        <w:ind w:firstLine="642" w:firstLineChars="200"/>
        <w:jc w:val="both"/>
        <w:textAlignment w:val="auto"/>
        <w:rPr>
          <w:rFonts w:hint="eastAsia" w:ascii="楷体_GB2312" w:hAnsi="楷体_GB2312" w:eastAsia="楷体_GB2312" w:cs="楷体_GB2312"/>
          <w:b/>
          <w:bCs/>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（一）申报条件</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市自然科学基金项目的申报除满足申报通知中有关基本条件外，还应符合以下条件：</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1.项目承担单位为我市高校、科研院所、新型研发机构和三甲医院，项目组成员为具有中华人民共和国国籍（含获得中国永久居留权证的外国籍专家）从事科学技术研究的在职在岗人员。</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2.申报人必须具有博士学位或高级专业技术职务（职称）的在职在岗人员。</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3.项目申报人具有组织开展创新性研究的能力和基本条件，有承担基础研究项目或从事基础研究的工作经历，且具有良好的科研信用记录；每年在依托单位工作时间应不少于9个月，有足够的时间和精力从事申报项目的研究。</w:t>
      </w:r>
    </w:p>
    <w:p>
      <w:pPr>
        <w:pStyle w:val="8"/>
        <w:keepNext w:val="0"/>
        <w:keepLines w:val="0"/>
        <w:pageBreakBefore w:val="0"/>
        <w:widowControl w:val="0"/>
        <w:kinsoku/>
        <w:wordWrap/>
        <w:overflowPunct/>
        <w:topLinePunct w:val="0"/>
        <w:bidi w:val="0"/>
        <w:adjustRightInd/>
        <w:snapToGrid/>
        <w:spacing w:line="540" w:lineRule="exact"/>
        <w:ind w:firstLine="642" w:firstLineChars="200"/>
        <w:jc w:val="both"/>
        <w:textAlignment w:val="auto"/>
        <w:rPr>
          <w:rFonts w:hAnsi="仿宋_GB2312"/>
          <w:b/>
          <w:color w:val="000000" w:themeColor="text1"/>
          <w:sz w:val="32"/>
          <w:szCs w:val="32"/>
          <w14:textFill>
            <w14:solidFill>
              <w14:schemeClr w14:val="tx1"/>
            </w14:solidFill>
          </w14:textFill>
        </w:rPr>
      </w:pPr>
      <w:r>
        <w:rPr>
          <w:rFonts w:hint="eastAsia" w:ascii="楷体_GB2312" w:hAnsi="仿宋_GB2312" w:eastAsia="楷体_GB2312"/>
          <w:b/>
          <w:color w:val="000000" w:themeColor="text1"/>
          <w:kern w:val="2"/>
          <w:sz w:val="32"/>
          <w:szCs w:val="32"/>
          <w14:textFill>
            <w14:solidFill>
              <w14:schemeClr w14:val="tx1"/>
            </w14:solidFill>
          </w14:textFill>
        </w:rPr>
        <w:t xml:space="preserve">（二）支持领域 </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1.数理科学:基础数学、计算数学、概率论与数理统计、应用数学、运筹学与控制论等数学研究领域的理论与方法；动力学与控制、固体力学、流体力学、生物力学、物理力学、基础物理、光物理与发光器件、低维凝聚态物理与量子调控、引力理论与粒子物理、纳米电子学与纳米光学。</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2.信息科学:电子学、通信与网络、电子器件与集成电路、计算机科学、自动化科学、大模型、光电子与微电子、网络安全、半导体照明关键技术、光电子器件、数字化制造与智能制造。</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3.化学类：新型聚合物材料合成方法、试剂、机理；同位素分析及制备基础研究；高效热、光、电、生物催化新理论、新技术、新方法；高性能超级电容器关键技术；危化品生产本质安全化科学问题研究。</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4.环境科学：鄱阳湖污染物多介质环境过程、效应及控制；水利工程系统理论与应用；污染物高效处理及同步资源化和能源化的基础理论与新技术开发；环境污染物的高效检测及其体内毒性效应评价；资源开发与综合利用、生态保护、资源利用的环境效应；鄱阳湖湿地土地利用及土地覆盖变化和碳循环;土壤质量与资源效应等；绿色资源开采、矿物材料的制备和加工；特殊矿产尾矿库退役治理；自然环境中低活度放射性检测方法与技术; 资源循环科学、水处理、空气净化、水资源可持续利用、环境污染控制与修复新理论与新方法。</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5.材料与工程科学:提高传统产业竞争能力的高性能结构材料、半导体发光材料、太阳能光伏材料、陶瓷功能材料、环境能源材料、新型能源材料与动力锂离子电池、稀土掺杂光电功能材料；有机高分子能量转换及节能减排和低碳排放转化机制；柔性生物电子材料；高精铜材、优特钢材、硬质合金、锂、镍钴、铅锌、铝合金等新材料；工程技术领域在数字化、智能化、精密化、绿色化方面等关键技术。</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6.农业与生物科学:九江特色水果、茶叶和主要农作物的营养与风味物质基础、生长机理及与人体的互作网络模型；食品加工的生物学基础与调控机制；食品营养；食品风味；食品安全；肠道微生态与人体健康；食品微生物资源开发与利用；九江特色食物资源营养功能成分的高效纯化理论；九江特色农副产品贮藏与保鲜过程中品质劣变的生物学基础等；动植物新品种选育;生物资源繁育种植、生物基材料、微生物制造技术；生物产品新型高效的分离、纯化方法。</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7.医药与卫生科学：九江地区常见疾病预防、优生、优育等有关交叉学科；威胁人类健康的多发疾病、重大疾病、血吸虫等地方或区域性疾病的诊断、治疗与临床前和治疗过程中的应用基础研究；环境对健康的影响、九江地区常见疾病预防、重要传染病流行特征及防治策略等有关交叉学科；胃肠道微生态；现代中药、生物制药、化学制药、生物医学工程；新型给药系统、重大疾病的药效学评价等；中医基础理论概念、内涵的规范化、热敏灸应用规律及其机理、中医病因病机的证治分类；中药药性理论与中药资源利用、中药鉴定、中药炮制、中药质量控制、中药药理、九江道地药材药效、方药药效及中药制剂关键技术与制药装备。</w:t>
      </w:r>
    </w:p>
    <w:p>
      <w:pPr>
        <w:pStyle w:val="8"/>
        <w:keepNext w:val="0"/>
        <w:keepLines w:val="0"/>
        <w:pageBreakBefore w:val="0"/>
        <w:widowControl w:val="0"/>
        <w:kinsoku/>
        <w:wordWrap/>
        <w:overflowPunct/>
        <w:topLinePunct w:val="0"/>
        <w:bidi w:val="0"/>
        <w:adjustRightInd/>
        <w:snapToGrid/>
        <w:spacing w:line="540" w:lineRule="exact"/>
        <w:ind w:firstLine="640" w:firstLineChars="200"/>
        <w:jc w:val="both"/>
        <w:textAlignment w:val="auto"/>
        <w:rPr>
          <w:rFonts w:hAnsi="仿宋_GB2312"/>
          <w:color w:val="000000" w:themeColor="text1"/>
          <w:sz w:val="32"/>
          <w:szCs w:val="32"/>
          <w14:textFill>
            <w14:solidFill>
              <w14:schemeClr w14:val="tx1"/>
            </w14:solidFill>
          </w14:textFill>
        </w:rPr>
      </w:pPr>
      <w:r>
        <w:rPr>
          <w:rFonts w:hint="eastAsia" w:hAnsi="仿宋_GB2312"/>
          <w:color w:val="000000" w:themeColor="text1"/>
          <w:sz w:val="32"/>
          <w:szCs w:val="32"/>
          <w14:textFill>
            <w14:solidFill>
              <w14:schemeClr w14:val="tx1"/>
            </w14:solidFill>
          </w14:textFill>
        </w:rPr>
        <w:t xml:space="preserve">8.前沿技术及颠覆性技术领域:人工智能及数据挖掘、图像处理、高性能软件技术、网络与通信技术、信息安全协议的设计与理论分析等技术;量子计算在密码破解和分子模拟技术研究；区块链技术研究；可再生能源技术研究；纳米技术与新材料；脑机接口技术；磁约束聚变物理和技术、磁约束等离子体物理、中子输运理论与物理、粒子与核物理探测新方法新技术、核技术应用研究；核安全、核仪器仪表及测量系统等设计研发；重要功能基因的表达调控、开发及应用；发现并鉴定代谢调控物质（包括外泌体、代谢物、RNA、肽类等）及其功能与作用机制；基因编辑（CRISPR）技术。 </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（三）申报材料</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1.九江市基础研究计划项目申报书；2.项目可行性研究报告》；3.申报单位法人营业执照；4.其他相关附件材料。</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 xml:space="preserve">（四）牵头科室  </w:t>
      </w:r>
      <w:r>
        <w:rPr>
          <w:rFonts w:hint="eastAsia" w:ascii="仿宋_GB2312" w:hAnsi="仿宋_GB2312" w:eastAsia="楷体_GB2312" w:cs="仿宋_GB2312"/>
          <w:color w:val="000000" w:themeColor="text1"/>
          <w:szCs w:val="32"/>
          <w14:textFill>
            <w14:solidFill>
              <w14:schemeClr w14:val="tx1"/>
            </w14:solidFill>
          </w14:textFill>
        </w:rPr>
        <w:t>规划</w:t>
      </w:r>
      <w:r>
        <w:rPr>
          <w:rFonts w:hint="eastAsia" w:ascii="仿宋_GB2312" w:hAnsi="仿宋_GB2312" w:cs="仿宋_GB2312"/>
          <w:color w:val="000000" w:themeColor="text1"/>
          <w:szCs w:val="32"/>
          <w14:textFill>
            <w14:solidFill>
              <w14:schemeClr w14:val="tx1"/>
            </w14:solidFill>
          </w14:textFill>
        </w:rPr>
        <w:t>科。</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黑体" w:hAnsi="黑体" w:eastAsia="黑体" w:cs="黑体"/>
          <w:bCs/>
          <w:color w:val="000000" w:themeColor="text1"/>
          <w:szCs w:val="32"/>
          <w14:textFill>
            <w14:solidFill>
              <w14:schemeClr w14:val="tx1"/>
            </w14:solidFill>
          </w14:textFill>
        </w:rPr>
      </w:pPr>
      <w:r>
        <w:rPr>
          <w:rFonts w:hint="eastAsia" w:ascii="黑体" w:hAnsi="黑体" w:eastAsia="黑体" w:cs="黑体"/>
          <w:bCs/>
          <w:color w:val="000000" w:themeColor="text1"/>
          <w:szCs w:val="32"/>
          <w:lang w:val="zh-CN"/>
          <w14:textFill>
            <w14:solidFill>
              <w14:schemeClr w14:val="tx1"/>
            </w14:solidFill>
          </w14:textFill>
        </w:rPr>
        <w:t>三、重点研发</w:t>
      </w:r>
      <w:r>
        <w:rPr>
          <w:rFonts w:hint="eastAsia" w:ascii="黑体" w:hAnsi="黑体" w:eastAsia="黑体" w:cs="黑体"/>
          <w:bCs/>
          <w:color w:val="000000" w:themeColor="text1"/>
          <w:szCs w:val="32"/>
          <w14:textFill>
            <w14:solidFill>
              <w14:schemeClr w14:val="tx1"/>
            </w14:solidFill>
          </w14:textFill>
        </w:rPr>
        <w:t>计划</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楷体_GB2312" w:eastAsia="楷体_GB2312" w:cs="楷体_GB2312"/>
          <w:b/>
          <w:color w:val="000000" w:themeColor="text1"/>
          <w:szCs w:val="32"/>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（一）申报条件</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（1）申报项目须为我市经济社会发展及重点产业领域内需解决的关键技术难题。</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（2）申报项目须目标明确、边界清晰，具有明确的产业化前景，合作类项目申报单位须与合作机构正式签署有关项目合作协议或合作意向书。</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（3）申请单位应具有较好的技术研发和产业化条件，有较强的科研团队，有良好的资信基础和较强的资金筹措能力。</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（4）多个单位联合申报的，各方须签订联合申报合作协议，明确约定课题申报单位及参与单位承担的研究任务、考核指标、专项经费比例和知识产权归属等，并作为申报书的附件。</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楷体_GB2312" w:eastAsia="楷体_GB2312" w:cs="楷体_GB2312"/>
          <w:b/>
          <w:color w:val="000000" w:themeColor="text1"/>
          <w:szCs w:val="32"/>
          <w14:textFill>
            <w14:solidFill>
              <w14:schemeClr w14:val="tx1"/>
            </w14:solidFill>
          </w14:textFill>
        </w:rPr>
      </w:pPr>
      <w:r>
        <w:rPr>
          <w:rFonts w:hint="eastAsia" w:ascii="楷体_GB2312" w:hAnsi="楷体_GB2312" w:eastAsia="楷体_GB2312" w:cs="楷体_GB2312"/>
          <w:b/>
          <w:color w:val="000000" w:themeColor="text1"/>
          <w:szCs w:val="32"/>
          <w14:textFill>
            <w14:solidFill>
              <w14:schemeClr w14:val="tx1"/>
            </w14:solidFill>
          </w14:textFill>
        </w:rPr>
        <w:t>（二）重点支持领域</w:t>
      </w:r>
    </w:p>
    <w:p>
      <w:pPr>
        <w:pStyle w:val="5"/>
        <w:keepNext w:val="0"/>
        <w:keepLines w:val="0"/>
        <w:pageBreakBefore w:val="0"/>
        <w:widowControl w:val="0"/>
        <w:kinsoku/>
        <w:wordWrap/>
        <w:overflowPunct/>
        <w:topLinePunct w:val="0"/>
        <w:bidi w:val="0"/>
        <w:adjustRightInd/>
        <w:snapToGrid/>
        <w:spacing w:line="540" w:lineRule="exact"/>
        <w:ind w:firstLine="642"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1.制造业“9610”行动支撑计划</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（1）石化化工领域。加工劣质原油和提高成品油收率技术、清洁油品生产技术、节能环保技术、储运技术、安全技术等研究开发；化工纳米材料，高分子减水剂和乳化剂、高性能隔膜</w:t>
      </w:r>
      <w:r>
        <w:rPr>
          <w:rFonts w:hint="eastAsia"/>
          <w:color w:val="000000" w:themeColor="text1"/>
          <w:szCs w:val="32"/>
          <w14:textFill>
            <w14:solidFill>
              <w14:schemeClr w14:val="tx1"/>
            </w14:solidFill>
          </w14:textFill>
        </w:rPr>
        <w:t>材料，太阳能电池材料、新型医药（农药）中间体、新型环</w:t>
      </w:r>
      <w:r>
        <w:rPr>
          <w:rFonts w:hint="eastAsia" w:ascii="仿宋_GB2312" w:hAnsi="仿宋_GB2312" w:cs="仿宋_GB2312"/>
          <w:color w:val="000000" w:themeColor="text1"/>
          <w:szCs w:val="32"/>
          <w14:textFill>
            <w14:solidFill>
              <w14:schemeClr w14:val="tx1"/>
            </w14:solidFill>
          </w14:textFill>
        </w:rPr>
        <w:t>保染料及其</w:t>
      </w:r>
      <w:r>
        <w:rPr>
          <w:rFonts w:hint="eastAsia" w:ascii="仿宋_GB2312" w:cs="仿宋_GB2312"/>
          <w:color w:val="000000" w:themeColor="text1"/>
          <w:kern w:val="0"/>
          <w:szCs w:val="32"/>
          <w14:textFill>
            <w14:solidFill>
              <w14:schemeClr w14:val="tx1"/>
            </w14:solidFill>
          </w14:textFill>
        </w:rPr>
        <w:t>中间体、精细化工产品、特种工程塑料、聚乳酸新材料、水性环保涂料、新型胶粘剂</w:t>
      </w:r>
      <w:r>
        <w:rPr>
          <w:rFonts w:hint="eastAsia"/>
          <w:color w:val="000000" w:themeColor="text1"/>
          <w:szCs w:val="32"/>
          <w14:textFill>
            <w14:solidFill>
              <w14:schemeClr w14:val="tx1"/>
            </w14:solidFill>
          </w14:textFill>
        </w:rPr>
        <w:t>等开发与应用</w:t>
      </w:r>
      <w:r>
        <w:rPr>
          <w:rFonts w:hint="eastAsia" w:ascii="仿宋_GB2312" w:hAnsi="仿宋_GB2312" w:cs="仿宋_GB2312"/>
          <w:color w:val="000000" w:themeColor="text1"/>
          <w:szCs w:val="32"/>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电子信息领域。光伏太阳能电池器件、LED外延片和高端芯片、LED器件、液晶显示背光源/触控屏、LED显示/照明产品及电源驱动、高效荧光粉、新型节能灯、半导体照明用发光材料、智能控制系统、通信产品、嵌入式和应用软件开发、新型电子元器件、柔性电子、光机电一体化和光电转换产品的研发，集成电路新器件、新工艺、新方法等技术研究。</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cs="仿宋_GB2312"/>
          <w:color w:val="000000" w:themeColor="text1"/>
          <w:kern w:val="0"/>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（3）新能源领域。</w:t>
      </w:r>
      <w:r>
        <w:rPr>
          <w:rFonts w:hint="eastAsia"/>
          <w:color w:val="000000" w:themeColor="text1"/>
          <w:szCs w:val="32"/>
          <w14:textFill>
            <w14:solidFill>
              <w14:schemeClr w14:val="tx1"/>
            </w14:solidFill>
          </w14:textFill>
        </w:rPr>
        <w:t>太阳能</w:t>
      </w:r>
      <w:r>
        <w:rPr>
          <w:rFonts w:hint="eastAsia"/>
          <w:bCs/>
          <w:color w:val="000000" w:themeColor="text1"/>
          <w:szCs w:val="32"/>
          <w14:textFill>
            <w14:solidFill>
              <w14:schemeClr w14:val="tx1"/>
            </w14:solidFill>
          </w14:textFill>
        </w:rPr>
        <w:t>光伏、太阳</w:t>
      </w:r>
      <w:r>
        <w:rPr>
          <w:rFonts w:hint="eastAsia" w:ascii="仿宋_GB2312" w:cs="仿宋_GB2312"/>
          <w:color w:val="000000" w:themeColor="text1"/>
          <w:kern w:val="0"/>
          <w:szCs w:val="32"/>
          <w14:textFill>
            <w14:solidFill>
              <w14:schemeClr w14:val="tx1"/>
            </w14:solidFill>
          </w14:textFill>
        </w:rPr>
        <w:t>热、风电、热电转换、生物质能、储能等清洁能源或二次能源等各种新能源材料、器件和应用技术，页岩油、气开采及辅助技术，新型车用/建筑用隔热薄膜、隔热玻璃等节能技术研究；氢能产业相关技术研究；大容量长寿命储能器件和应用技术，大规模储能系统技术和LED节能照明技术等技术研发，锂离子电池、固态电池、新型储能电池及其材料等领域的关键技术攻关。</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装备制造领域。大型装备专用智能化控制装置，工业自动化控制系统与精密、智能化仪器仪表等重大技术装备系统；模具产业相关技术研究；低能耗低污染汽车和制造技术，汽车零部件柔性加工技术，船舶设计技术，船舶舾装配套技术，环保技术，船舶精密电子、元器件制造技术，先进设备制造技术和汽车船舶技术等的研发。</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（5）纺织服装领域。差别化及功能性纤维材料技术，新型纺纱、织造与非织造关键技术，高新染整技术，产业用纺织品加工技术，羽绒服装等现代服装技术，新型纺织机械及信息化、数智化技术</w:t>
      </w:r>
      <w:r>
        <w:rPr>
          <w:rFonts w:hint="eastAsia" w:ascii="仿宋_GB2312" w:hAnsi="仿宋_GB2312" w:cs="仿宋_GB2312"/>
          <w:color w:val="000000" w:themeColor="text1"/>
          <w:kern w:val="0"/>
          <w:szCs w:val="32"/>
          <w14:textFill>
            <w14:solidFill>
              <w14:schemeClr w14:val="tx1"/>
            </w14:solidFill>
          </w14:textFill>
        </w:rPr>
        <w:t>，功能性过滤材料、新型医用纺织品等功能性纺织品加工技术等的研发。</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（6）新材料领域。</w:t>
      </w:r>
      <w:r>
        <w:rPr>
          <w:rFonts w:hint="eastAsia" w:ascii="仿宋_GB2312" w:hAnsi="仿宋_GB2312" w:cs="仿宋_GB2312"/>
          <w:color w:val="000000" w:themeColor="text1"/>
          <w:kern w:val="0"/>
          <w:szCs w:val="32"/>
          <w14:textFill>
            <w14:solidFill>
              <w14:schemeClr w14:val="tx1"/>
            </w14:solidFill>
          </w14:textFill>
        </w:rPr>
        <w:t>新型复合材料、高分子材料、新型超细、高纯度、非金属纳米材料、新型功能陶瓷材料、新型绿色建材、新型光电材料、新型热电转换材料、有机硅副产物的制备与应用研究；高强度热塑性树脂基及其碳纤维复合材料、特种焊接材料、玻璃和玻纤新材料、生物质纤维新材料、有机硅及下游产品的开发与应用；石墨烯材料、增材制造材料、超导材料等前沿新材料技术研究；装配式建筑与纳米材料及其器件开发等技术研发。</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钢铁、有色金属领域。废钢在钢铁新材料、新品种开发中的应用技术，优特钢材、高强钢筋等新型钢铁材料的开发及转化技术，稀有金属特色资源高效开发利用技术，稀有、稀土金属及合金生产过程连续化、自动化、无害化、工艺标准化及自适应技术的研发；钢铁企业能源综合平衡、高效利用、绿色生产新技术、新工艺、新方法的研究；硬质合金、特种钢材、桥梁缆索超高强度镀锌钢绞线开发研究；稀土有色矿产资源高效、清洁化开发利用新技术新工艺研究；金属冶炼工艺技术的优化、升级研究；稀土发光材料及其应用领域开发研究；新型稀土掺杂金属合金新品种、新工艺开发与应用研究；高性能钨合金材料等有色金属的开发利用。</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8）数字经济领域。新一代信息技术、新一代移动互联网技术、网络安全技术、5G/6G移动通信技术、卫星互联网技术、量子信息技术的研发；计算机及网络、物联网、云计算、大数据、人工智能、区块链、高端软件、虚拟现实和增强现实等关键技术研究与应用。</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9）未来产业领域。重点支持智能制造、生物制造、纳米制造、激光制造、循环制造等关键核心技术研究；高性能碳纤维、先进半导体等关键战略材料和超导材料等前沿新材料的技术研究；核技术应用相关技术研究；工业机器人相关技术研究；载人航天、探月探火、卫星导航、深海潜水器、深海智能无人平合等高端装备的研制和创新应用；主控芯片、航空级碳纤维机体、高温合金等低空经济领域核心零部件和关键材料的研制应用及eVTOL、飞行汽车、微型无人驾驶航空器等低空经济领域相关技术和装备的研制。</w:t>
      </w:r>
    </w:p>
    <w:p>
      <w:pPr>
        <w:pStyle w:val="5"/>
        <w:keepNext w:val="0"/>
        <w:keepLines w:val="0"/>
        <w:pageBreakBefore w:val="0"/>
        <w:widowControl w:val="0"/>
        <w:kinsoku/>
        <w:wordWrap/>
        <w:overflowPunct/>
        <w:topLinePunct w:val="0"/>
        <w:bidi w:val="0"/>
        <w:adjustRightInd/>
        <w:snapToGrid/>
        <w:spacing w:line="540" w:lineRule="exact"/>
        <w:ind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2.农业领域重点支持计划</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（1）农、林、畜牧、水产养殖优质育种技术研究。</w:t>
      </w:r>
      <w:r>
        <w:rPr>
          <w:rFonts w:hint="eastAsia"/>
          <w:color w:val="000000" w:themeColor="text1"/>
          <w:szCs w:val="32"/>
          <w14:textFill>
            <w14:solidFill>
              <w14:schemeClr w14:val="tx1"/>
            </w14:solidFill>
          </w14:textFill>
        </w:rPr>
        <w:t>选育优质、多抗、高效、适宜机械化生产或设施栽培的农作物新品种，研</w:t>
      </w:r>
      <w:r>
        <w:rPr>
          <w:rFonts w:hint="eastAsia" w:ascii="仿宋_GB2312" w:hAnsi="仿宋_GB2312" w:cs="仿宋_GB2312"/>
          <w:color w:val="000000" w:themeColor="text1"/>
          <w:szCs w:val="32"/>
          <w14:textFill>
            <w14:solidFill>
              <w14:schemeClr w14:val="tx1"/>
            </w14:solidFill>
          </w14:textFill>
        </w:rPr>
        <w:t>究轻简化、机械化良种繁育、制种、育苗和连作障碍克服技术；研究标准化池塘常规鱼类养殖、稻渔共生养殖等规模化健康养殖技术与模式；培育具有高产、节粮、抗病、优质等优异特性的优良畜禽新品种（系）的培育。</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农产品绿色精深加工及质量安全技术研究。研发农产品(含油茶、茶叶等）及其副产物绿色有机高值化加工与综合利用关键技术及产品，研发绿色保鲜、贮藏与冷链物流关键技术及产品。开展农产品高效生产、加工、流通等全流程质量安全信息采集与监控技术、检验监测技术研究，研发质量溯源、安全监管等系统；开展主要和特色农产品质量安全检测技术及产品开发与应用。</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重要农机装备和信息化智慧化农业技术研究。筛选与研制轻简化、机械化农机装备，开展茶叶、中药材等智能加工技术研究及应用，开展农业物联网数据标准建设、数据融合处理与分析、多感知传感器与系统集成、智能感知等关键技术与装备研究，开展面向动植物本体及环境信息的数据分析及精准调控技术研究。</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（4）生态循环农业技术研究。开展农</w:t>
      </w:r>
      <w:r>
        <w:rPr>
          <w:rFonts w:hint="eastAsia"/>
          <w:color w:val="000000" w:themeColor="text1"/>
          <w:szCs w:val="32"/>
          <w14:textFill>
            <w14:solidFill>
              <w14:schemeClr w14:val="tx1"/>
            </w14:solidFill>
          </w14:textFill>
        </w:rPr>
        <w:t>村垃圾、农业废弃物处理及资源化利用技术与设备研发；研究粮食主产区农田保育、中低产田改良等技术；研发绿色植保技术、绿色高效安全新型生物农药；开展林下经济、农业生态系统修复、综合治理等研究。</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w:t>
      </w:r>
      <w:r>
        <w:rPr>
          <w:rFonts w:hint="eastAsia"/>
          <w:color w:val="000000" w:themeColor="text1"/>
          <w:szCs w:val="32"/>
          <w14:textFill>
            <w14:solidFill>
              <w14:schemeClr w14:val="tx1"/>
            </w14:solidFill>
          </w14:textFill>
        </w:rPr>
        <w:t>食品产业领域。开展粮食精深加工、畜禽加工、食用植物油加工、特香型酒酿造、果蔬深加工、水产品、茶油及副产品加工、营养和保健食品制造。</w:t>
      </w:r>
    </w:p>
    <w:p>
      <w:pPr>
        <w:pStyle w:val="5"/>
        <w:keepNext w:val="0"/>
        <w:keepLines w:val="0"/>
        <w:pageBreakBefore w:val="0"/>
        <w:widowControl w:val="0"/>
        <w:kinsoku/>
        <w:wordWrap/>
        <w:overflowPunct/>
        <w:topLinePunct w:val="0"/>
        <w:bidi w:val="0"/>
        <w:adjustRightInd/>
        <w:snapToGrid/>
        <w:spacing w:line="540" w:lineRule="exact"/>
        <w:ind w:firstLine="642" w:firstLineChars="200"/>
        <w:jc w:val="both"/>
        <w:textAlignment w:val="auto"/>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3.社会发展领域重点支持计划</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中医药现化代及热敏灸技术领域。中医药提取技术、分离技术、纯化技术、干燥技术及包合技术、中药饮片规范化炮制和中药配方颗粒、重要标准提取物研究现代化等关键技术产业化应用研究，高品质道地中药材、艾草等规模化种植（养殖）示范研究，热敏灸应用技术，研究艾草精油提取及香疗功能开发等。</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生物医疗与公共卫生技术研究。常见、多发重大慢性疾病评估及预警技术研究；快速检测与诊断试剂、干细胞治疗、肿瘤治疗、口腔医疗3D打印增材技术及设备、口腔医疗器械一体化平台、中西医结合、传染病防治、高端医疗设备、营养与健康、疾病防治与监测、社会心理健康等公</w:t>
      </w:r>
      <w:r>
        <w:rPr>
          <w:rFonts w:hint="eastAsia" w:ascii="仿宋_GB2312" w:hAnsi="仿宋_GB2312" w:cs="仿宋_GB2312"/>
          <w:color w:val="000000" w:themeColor="text1"/>
          <w:kern w:val="0"/>
          <w:szCs w:val="32"/>
          <w14:textFill>
            <w14:solidFill>
              <w14:schemeClr w14:val="tx1"/>
            </w14:solidFill>
          </w14:textFill>
        </w:rPr>
        <w:t>共卫生领域临床</w:t>
      </w:r>
      <w:r>
        <w:rPr>
          <w:rFonts w:hint="eastAsia" w:ascii="仿宋_GB2312" w:hAnsi="仿宋_GB2312" w:cs="仿宋_GB2312"/>
          <w:color w:val="000000" w:themeColor="text1"/>
          <w:szCs w:val="32"/>
          <w14:textFill>
            <w14:solidFill>
              <w14:schemeClr w14:val="tx1"/>
            </w14:solidFill>
          </w14:textFill>
        </w:rPr>
        <w:t>应用技术研发等。</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安全生产领域。安全监管“机器换人”的智慧监管技术及生产、加工、运输、储藏和流通安全控制技术等安全生产关键技术攻关，食品、药品智能化快速检测、追溯系统及设备研发，矿山地质灾害防治、安全开采、事故应急救援等矿山安全关键技术，火灾预防与探测报警技术等火灾消防工程技术，防灾减灾新材料、新产品、新装备关键技术，危险化学品安全应用基础研究和关键技术攻关，城市公共安全基础研究和关键技术攻关等。</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资源高效开发与污染防治技术领域。能源高效利用与节能环保技术，高效节能建筑新材料、新型墙体材料技术等建筑节能技术；水资源综合调控与高效利用技术，工矿企业及工业聚集区污水防治及监测技术研究；城市黑臭水体、农村分散污水、畜禽养殖污水、生活污水、工业废水等水污染高效节能处理技术，工业生产和能源应用等领域温室气体减排、工业烟气脱硫脱硝等大气污染综合防治关键技术，支持绿色包装、可循环和可降解材料、生物降解高分子材料等关键核心技术及装备研发。</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生态保护与修复技术领域。生物多样性保护与自然保护单元建设技术研究，水土流失防护技术，河湖岸线综合整治与生态修复技术、湖泊生态环境监测关键技术，鄱阳湖流域湿地生态安全评价及生态修复技术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科技兴警”领域。信息深度合成犯罪应对技术研究；无人机管控技术研究；反电信网络诈骗技术研究；新型网络空间安全治理技术研究；物证全息勘验技术研究；视频图像智能应用和安全技术研究；公共安全大数据预测预警技术研究；多维生物特征融合应用技术研究；智能警用装备技术研究；公安数字孪生技术研究；公安禁毒技术研究；全市关键信息基础设施安全技术研究；网络可信身份认证技术研究；公安政务服务协同联动技术研究；语义认知推理技术研究；非常规形态动物识别鉴定应用技术研究；反恐技术研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（7）文化旅游科技领域。网络文化、文化旅游、文化科技服务等领域系统集成技术及装备，以及动漫游戏与虚拟仿真等技术研发。</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（三）申报材料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（1）重点研发计划项目申报书；（2）项目可行性研究报告；（3）企业法人营业执照；（4）上年度企业研发辅助帐及研发投入情况；（5）科技型企业证书等其他相关附件材料。</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（四）牵头科室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高新科：制造业“9610”行动支撑计划。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农社科：农业领域支撑计划、社会发展领域支撑计划。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hAnsi="黑体" w:eastAsia="黑体" w:cs="黑体"/>
          <w:bCs/>
          <w:color w:val="000000" w:themeColor="text1"/>
          <w:szCs w:val="32"/>
          <w:lang w:val="zh-CN"/>
          <w14:textFill>
            <w14:solidFill>
              <w14:schemeClr w14:val="tx1"/>
            </w14:solidFill>
          </w14:textFill>
        </w:rPr>
      </w:pPr>
      <w:r>
        <w:rPr>
          <w:rFonts w:hint="eastAsia" w:ascii="黑体" w:hAnsi="黑体" w:eastAsia="黑体" w:cs="黑体"/>
          <w:bCs/>
          <w:color w:val="000000" w:themeColor="text1"/>
          <w:szCs w:val="32"/>
          <w:lang w:val="zh-CN"/>
          <w14:textFill>
            <w14:solidFill>
              <w14:schemeClr w14:val="tx1"/>
            </w14:solidFill>
          </w14:textFill>
        </w:rPr>
        <w:t>三、科技创新人才及团队计划</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（一）重点领域科技创新团队计划</w:t>
      </w:r>
    </w:p>
    <w:p>
      <w:pPr>
        <w:keepNext w:val="0"/>
        <w:keepLines w:val="0"/>
        <w:pageBreakBefore w:val="0"/>
        <w:widowControl w:val="0"/>
        <w:kinsoku/>
        <w:wordWrap/>
        <w:overflowPunct/>
        <w:topLinePunct w:val="0"/>
        <w:autoSpaceDE/>
        <w:autoSpaceDN/>
        <w:bidi w:val="0"/>
        <w:adjustRightInd/>
        <w:snapToGrid/>
        <w:spacing w:line="540" w:lineRule="exact"/>
        <w:ind w:firstLine="642"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1.申报条件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（1）申报单位属于我市重点产业领域企事业单位；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（2）重点围绕“十四五”规划明确的人工智能、量子信息、集成电路、生命健康、脑科学、生物育种、空天科技、深地深海等未来产业前沿领域和解决“卡脖子”技术问题；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科技创新团队已形成稳定的合作基础，在业界有重要影响力，核心成员不少于3人，平均年龄不超过48周岁，团队带头人须具备博士学位或副高以上职称。团队成员若干人，均具备学士以上学位或中级以上职称；</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（4）团队具有明确的产业技术研究方向和重点研究发展规划，具有承担市级及以上重大课题或科技项目研发的能力。</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2.申报材料</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（1）重点领域科技创新团队项目申请书；（2）团队成员身份证、学位、职称证明；（3）单位上年度研发投入情况；（4）近5年科技成果及相关附件材料。</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3.牵头科室。</w:t>
      </w:r>
      <w:r>
        <w:rPr>
          <w:rFonts w:hint="eastAsia" w:ascii="仿宋_GB2312" w:hAnsi="仿宋_GB2312" w:cs="仿宋_GB2312"/>
          <w:bCs/>
          <w:color w:val="000000" w:themeColor="text1"/>
          <w:szCs w:val="32"/>
          <w14:textFill>
            <w14:solidFill>
              <w14:schemeClr w14:val="tx1"/>
            </w14:solidFill>
          </w14:textFill>
        </w:rPr>
        <w:t>人才科。</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（二）高层次科技创新人才计划</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1.申报条件</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申报人应是全职在浔企事业单位从事科技研发工作的专业技术人员，并同时符合以下条件：</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（1）拥护中国共产党的领导，热爱社会主义祖国，有强烈的事业心、责任感，具有很强的创新研发能力、严谨求实的科学作风和团结协作精神；</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（2）具有博士学位或</w:t>
      </w:r>
      <w:r>
        <w:rPr>
          <w:rFonts w:hint="eastAsia" w:ascii="仿宋_GB2312" w:cs="仿宋_GB2312"/>
          <w:color w:val="000000" w:themeColor="text1"/>
          <w:kern w:val="0"/>
          <w:szCs w:val="32"/>
          <w14:textFill>
            <w14:solidFill>
              <w14:schemeClr w14:val="tx1"/>
            </w14:solidFill>
          </w14:textFill>
        </w:rPr>
        <w:t>具有副高级及以上专业技</w:t>
      </w:r>
      <w:r>
        <w:rPr>
          <w:rFonts w:hint="eastAsia" w:ascii="仿宋_GB2312" w:hAnsi="仿宋_GB2312" w:cs="仿宋_GB2312"/>
          <w:color w:val="000000" w:themeColor="text1"/>
          <w:szCs w:val="32"/>
          <w14:textFill>
            <w14:solidFill>
              <w14:schemeClr w14:val="tx1"/>
            </w14:solidFill>
          </w14:textFill>
        </w:rPr>
        <w:t>术职称；</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（3）年龄不超过50周岁,鼓励青年科研人员积极申报（立项中青年项目占60%），成果特别优秀的可适当放宽年龄；</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（4）近3年取得较好的科研成果，并具有较高的科研水平和创新能力，发展潜力较大。</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cs="仿宋_GB2312"/>
          <w:b/>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2.申报材料</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（1）高层次科技创新人才项目申报书；（2）身份证、学位、职称证明；（3）近3年科研成果及相关附件材料。</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cs="仿宋_GB2312"/>
          <w:bCs/>
          <w:color w:val="000000" w:themeColor="text1"/>
          <w:szCs w:val="32"/>
          <w14:textFill>
            <w14:solidFill>
              <w14:schemeClr w14:val="tx1"/>
            </w14:solidFill>
          </w14:textFill>
        </w:rPr>
      </w:pPr>
      <w:r>
        <w:rPr>
          <w:rFonts w:hint="eastAsia" w:ascii="仿宋_GB2312" w:hAnsi="仿宋_GB2312" w:cs="仿宋_GB2312"/>
          <w:b/>
          <w:color w:val="000000" w:themeColor="text1"/>
          <w:szCs w:val="32"/>
          <w14:textFill>
            <w14:solidFill>
              <w14:schemeClr w14:val="tx1"/>
            </w14:solidFill>
          </w14:textFill>
        </w:rPr>
        <w:t>3.牵头科室。</w:t>
      </w:r>
      <w:r>
        <w:rPr>
          <w:rFonts w:hint="eastAsia" w:ascii="仿宋_GB2312" w:hAnsi="仿宋_GB2312" w:cs="仿宋_GB2312"/>
          <w:bCs/>
          <w:color w:val="000000" w:themeColor="text1"/>
          <w:szCs w:val="32"/>
          <w14:textFill>
            <w14:solidFill>
              <w14:schemeClr w14:val="tx1"/>
            </w14:solidFill>
          </w14:textFill>
        </w:rPr>
        <w:t>人才科。</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cs="仿宋_GB2312"/>
          <w:bCs/>
          <w:color w:val="000000" w:themeColor="text1"/>
          <w:szCs w:val="32"/>
          <w14:textFill>
            <w14:solidFill>
              <w14:schemeClr w14:val="tx1"/>
            </w14:solidFill>
          </w14:textFill>
        </w:rPr>
      </w:pPr>
      <w:r>
        <w:rPr>
          <w:rFonts w:hint="eastAsia" w:ascii="黑体" w:hAnsi="黑体" w:eastAsia="黑体" w:cs="仿宋_GB2312"/>
          <w:bCs/>
          <w:color w:val="000000" w:themeColor="text1"/>
          <w:szCs w:val="32"/>
          <w:lang w:val="zh-CN"/>
          <w14:textFill>
            <w14:solidFill>
              <w14:schemeClr w14:val="tx1"/>
            </w14:solidFill>
          </w14:textFill>
        </w:rPr>
        <w:t>四、成果熟化项目计划</w:t>
      </w:r>
    </w:p>
    <w:p>
      <w:pPr>
        <w:pStyle w:val="3"/>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lang w:val="zh-CN"/>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（一）</w:t>
      </w:r>
      <w:r>
        <w:rPr>
          <w:rFonts w:hint="eastAsia" w:ascii="楷体_GB2312" w:hAnsi="仿宋_GB2312" w:eastAsia="楷体_GB2312" w:cs="仿宋_GB2312"/>
          <w:b/>
          <w:color w:val="000000" w:themeColor="text1"/>
          <w:szCs w:val="32"/>
          <w:lang w:val="zh-CN"/>
          <w14:textFill>
            <w14:solidFill>
              <w14:schemeClr w14:val="tx1"/>
            </w14:solidFill>
          </w14:textFill>
        </w:rPr>
        <w:t>申报条件</w:t>
      </w:r>
    </w:p>
    <w:p>
      <w:pPr>
        <w:pStyle w:val="3"/>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1.科技成果条件</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项目实施的科技成果属于九江市重点产业发展关键核心技术，具有自主知识产权，产权归属明晰，技术水平达到市内领先或省内先进以上，科技成果可来源于市内外，包括原始创新、集成创新、引进消化吸收再创新等科技成果；</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项目实施的科技成果具有很强的创新性、先进性、实用性，技术成熟度较高，具备转化应用前期基础和条件，处于中试熟化阶段，预期市场需求较大，商品化及产业化前景好，有利于提升企业竞争力和创新发展能力。</w:t>
      </w:r>
    </w:p>
    <w:p>
      <w:pPr>
        <w:pStyle w:val="3"/>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2.项目实施条件</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（1）项目实施应符合九江市产业发展政策，实施期为2年，项目实施及后期的转化应用应在九江市内；</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项目实施方案合理可行，符合节能、环保、安全等要求。通过实施技术开发、工业设计、产品验证、市场应用研究、商业规划等中试熟化及工程化工作，预期可形成新技术、新工艺、新材料、新产品，实现产品小批量试制、工程样机生产等；</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（3）项目实施如属于医药、农药、化肥、添加剂、特种设备等国家专卖、专控及特殊行业的，须获得相应主管部门的批准许可。</w:t>
      </w:r>
    </w:p>
    <w:p>
      <w:pPr>
        <w:pStyle w:val="3"/>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3.申报单位条件</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申报单位应为九江市内区域注册的法人组织，拥有一定数量和层级的固定研究队伍，具有较强的项目实施能力、工程化建设组织管理能力，具有从试验研究、中试熟化到生产过程所需的仪器、设备等硬件基础条件；</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（2）申报单位原则上以成果需求方（成果承接落地企业）为主体，根据需要可选择有关科研机构联合申报；以成果供给方（高校、科研机构）牵头实施的，必须明确成果承接落地企业，并与该企业联合申报；</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3）①申报单位为成立一年以上的企业，上一年度研发投入应超过80万元，主营业务收入应超过1500万元，资产负债率不应超过60%。②申报单位为高校、科研机构的，对财务资产数据不作要求。③申报单位为依托该项目新建孵化的企业，不受该条第①款条件限制，其依托单位或合作单位应具备试验场所、科研设备、技术人员等保障条件；</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4）申报单位应具有健全的科研、财务管理制度，以及良好的科研诚信和社会信誉，三年之内无违背科研诚信要求的行为记录及科研部门实施联合惩戒的社会失信行为记录，未发生由行政执法监督机关确认的违法、违规行为。</w:t>
      </w:r>
    </w:p>
    <w:p>
      <w:pPr>
        <w:pStyle w:val="3"/>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4.项目负责人要求</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（1）项目负责人应为实际主持研究工作的人员，不得有到期未验收的省、市级科技计划项目，不得有科研诚信失信记录；</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（2）项目负责人的年龄不超过58周岁（1967年1月1日以后出生）；</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（3）国家机关在职的工作人员（含参照《公务员法》管理的单位）不得作为项目负责人。</w:t>
      </w:r>
    </w:p>
    <w:p>
      <w:pPr>
        <w:pStyle w:val="3"/>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
          <w:color w:val="000000" w:themeColor="text1"/>
          <w:szCs w:val="32"/>
          <w14:textFill>
            <w14:solidFill>
              <w14:schemeClr w14:val="tx1"/>
            </w14:solidFill>
          </w14:textFill>
        </w:rPr>
        <w:t>5.其他要求</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（1）多个单位联合申报的，各方须签订联合申报合作协议，明确约定项目申报单位、参与单位承担的研究任务、考核指标、专项经费比例和知识产权归属等，并作为申请书的附件提交；</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（2）项目申报材料和相关证明材料不得包含法律禁止公开的秘密内容或申报人要求保密的内容，如涉密需脱密后提交。</w:t>
      </w:r>
    </w:p>
    <w:p>
      <w:pPr>
        <w:pStyle w:val="3"/>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lang w:val="zh-CN"/>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（二）</w:t>
      </w:r>
      <w:r>
        <w:rPr>
          <w:rFonts w:hint="eastAsia" w:ascii="楷体_GB2312" w:hAnsi="仿宋_GB2312" w:eastAsia="楷体_GB2312" w:cs="仿宋_GB2312"/>
          <w:b/>
          <w:color w:val="000000" w:themeColor="text1"/>
          <w:szCs w:val="32"/>
          <w:lang w:val="zh-CN"/>
          <w14:textFill>
            <w14:solidFill>
              <w14:schemeClr w14:val="tx1"/>
            </w14:solidFill>
          </w14:textFill>
        </w:rPr>
        <w:t>申报材料</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lang w:val="zh-CN"/>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九江市重大科技成果熟化与工程化研究项目申报书；2.学位、职称证明；3.企业法人营业执照；4.上年度财务报表及研发辅助帐、研发投入情况；5.项目申报单位在该研究方向的前期任务承担及综合绩效评价（验收）情况、相关研究成果等其他相关证明材料。</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（三）牵头科室</w:t>
      </w:r>
    </w:p>
    <w:p>
      <w:pPr>
        <w:keepNext w:val="0"/>
        <w:keepLines w:val="0"/>
        <w:pageBreakBefore w:val="0"/>
        <w:widowControl w:val="0"/>
        <w:kinsoku/>
        <w:wordWrap/>
        <w:overflowPunct/>
        <w:topLinePunct w:val="0"/>
        <w:bidi w:val="0"/>
        <w:adjustRightInd/>
        <w:snapToGrid/>
        <w:spacing w:line="540" w:lineRule="exact"/>
        <w:ind w:firstLine="640" w:firstLineChars="200"/>
        <w:textAlignment w:val="auto"/>
        <w:rPr>
          <w:color w:val="000000" w:themeColor="text1"/>
          <w14:textFill>
            <w14:solidFill>
              <w14:schemeClr w14:val="tx1"/>
            </w14:solidFill>
          </w14:textFill>
        </w:rPr>
      </w:pPr>
      <w:r>
        <w:rPr>
          <w:rFonts w:hint="eastAsia" w:ascii="仿宋_GB2312" w:hAnsi="仿宋_GB2312" w:cs="仿宋_GB2312"/>
          <w:bCs/>
          <w:color w:val="000000" w:themeColor="text1"/>
          <w:szCs w:val="32"/>
          <w14:textFill>
            <w14:solidFill>
              <w14:schemeClr w14:val="tx1"/>
            </w14:solidFill>
          </w14:textFill>
        </w:rPr>
        <w:t>科监科。</w:t>
      </w:r>
    </w:p>
    <w:p>
      <w:pPr>
        <w:keepNext w:val="0"/>
        <w:keepLines w:val="0"/>
        <w:pageBreakBefore w:val="0"/>
        <w:widowControl w:val="0"/>
        <w:tabs>
          <w:tab w:val="center" w:pos="4394"/>
          <w:tab w:val="left" w:pos="5620"/>
        </w:tabs>
        <w:kinsoku/>
        <w:wordWrap/>
        <w:overflowPunct/>
        <w:topLinePunct w:val="0"/>
        <w:autoSpaceDE w:val="0"/>
        <w:autoSpaceDN w:val="0"/>
        <w:bidi w:val="0"/>
        <w:adjustRightInd/>
        <w:snapToGrid/>
        <w:spacing w:line="540" w:lineRule="exact"/>
        <w:ind w:firstLine="640" w:firstLineChars="200"/>
        <w:textAlignment w:val="auto"/>
        <w:rPr>
          <w:rFonts w:ascii="黑体" w:hAnsi="黑体" w:eastAsia="黑体" w:cs="仿宋_GB2312"/>
          <w:bCs/>
          <w:color w:val="000000" w:themeColor="text1"/>
          <w:szCs w:val="32"/>
          <w:lang w:val="zh-CN"/>
          <w14:textFill>
            <w14:solidFill>
              <w14:schemeClr w14:val="tx1"/>
            </w14:solidFill>
          </w14:textFill>
        </w:rPr>
      </w:pPr>
      <w:r>
        <w:rPr>
          <w:rFonts w:hint="eastAsia" w:ascii="黑体" w:hAnsi="黑体" w:eastAsia="黑体" w:cs="仿宋_GB2312"/>
          <w:bCs/>
          <w:color w:val="000000" w:themeColor="text1"/>
          <w:szCs w:val="32"/>
          <w:lang w:val="zh-CN"/>
          <w14:textFill>
            <w14:solidFill>
              <w14:schemeClr w14:val="tx1"/>
            </w14:solidFill>
          </w14:textFill>
        </w:rPr>
        <w:t>五、九江市临床医学研究中心建设（专项）</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（一）申报条件</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w:t>
      </w:r>
      <w:r>
        <w:rPr>
          <w:rFonts w:ascii="仿宋_GB2312" w:hAnsi="仿宋_GB2312" w:eastAsia="仿宋_GB2312" w:cs="仿宋_GB2312"/>
          <w:bCs/>
          <w:color w:val="000000" w:themeColor="text1"/>
          <w:szCs w:val="32"/>
          <w14:textFill>
            <w14:solidFill>
              <w14:schemeClr w14:val="tx1"/>
            </w14:solidFill>
          </w14:textFill>
        </w:rPr>
        <w:t xml:space="preserve">三级甲等医院法人单位； </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2.</w:t>
      </w:r>
      <w:r>
        <w:rPr>
          <w:rFonts w:ascii="仿宋_GB2312" w:hAnsi="仿宋_GB2312" w:eastAsia="仿宋_GB2312" w:cs="仿宋_GB2312"/>
          <w:bCs/>
          <w:color w:val="000000" w:themeColor="text1"/>
          <w:szCs w:val="32"/>
          <w14:textFill>
            <w14:solidFill>
              <w14:schemeClr w14:val="tx1"/>
            </w14:solidFill>
          </w14:textFill>
        </w:rPr>
        <w:t xml:space="preserve">在申报领域的临床技术水平省内领先； </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3.</w:t>
      </w:r>
      <w:r>
        <w:rPr>
          <w:rFonts w:ascii="仿宋_GB2312" w:hAnsi="仿宋_GB2312" w:eastAsia="仿宋_GB2312" w:cs="仿宋_GB2312"/>
          <w:bCs/>
          <w:color w:val="000000" w:themeColor="text1"/>
          <w:szCs w:val="32"/>
          <w14:textFill>
            <w14:solidFill>
              <w14:schemeClr w14:val="tx1"/>
            </w14:solidFill>
          </w14:textFill>
        </w:rPr>
        <w:t xml:space="preserve">临床医学和转化研究能力突出，申报前五年内，在申报领域牵头主持过省、市级重大、重点临床研究项目，领军人才和创新团队优势明显； </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4.</w:t>
      </w:r>
      <w:r>
        <w:rPr>
          <w:rFonts w:ascii="仿宋_GB2312" w:hAnsi="仿宋_GB2312" w:eastAsia="仿宋_GB2312" w:cs="仿宋_GB2312"/>
          <w:bCs/>
          <w:color w:val="000000" w:themeColor="text1"/>
          <w:szCs w:val="32"/>
          <w14:textFill>
            <w14:solidFill>
              <w14:schemeClr w14:val="tx1"/>
            </w14:solidFill>
          </w14:textFill>
        </w:rPr>
        <w:t>能够对拟申报的中心建设提供相应的条件保障。</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（二）申报材料</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1.</w:t>
      </w:r>
      <w:r>
        <w:rPr>
          <w:rFonts w:ascii="仿宋_GB2312" w:hAnsi="仿宋_GB2312" w:eastAsia="仿宋_GB2312" w:cs="仿宋_GB2312"/>
          <w:bCs/>
          <w:color w:val="000000" w:themeColor="text1"/>
          <w:szCs w:val="32"/>
          <w14:textFill>
            <w14:solidFill>
              <w14:schemeClr w14:val="tx1"/>
            </w14:solidFill>
          </w14:textFill>
        </w:rPr>
        <w:t>九江市临床医学研究中心申报书</w:t>
      </w:r>
      <w:r>
        <w:rPr>
          <w:rFonts w:hint="eastAsia" w:ascii="仿宋_GB2312" w:hAnsi="仿宋_GB2312" w:eastAsia="仿宋_GB2312" w:cs="仿宋_GB2312"/>
          <w:bCs/>
          <w:color w:val="000000" w:themeColor="text1"/>
          <w:szCs w:val="32"/>
          <w14:textFill>
            <w14:solidFill>
              <w14:schemeClr w14:val="tx1"/>
            </w14:solidFill>
          </w14:textFill>
        </w:rPr>
        <w:t>；2.九</w:t>
      </w:r>
      <w:r>
        <w:rPr>
          <w:rFonts w:ascii="仿宋_GB2312" w:hAnsi="仿宋_GB2312" w:eastAsia="仿宋_GB2312" w:cs="仿宋_GB2312"/>
          <w:bCs/>
          <w:color w:val="000000" w:themeColor="text1"/>
          <w:szCs w:val="32"/>
          <w14:textFill>
            <w14:solidFill>
              <w14:schemeClr w14:val="tx1"/>
            </w14:solidFill>
          </w14:textFill>
        </w:rPr>
        <w:t>江市临床医学研究中心建设方案</w:t>
      </w:r>
      <w:r>
        <w:rPr>
          <w:rFonts w:hint="eastAsia" w:ascii="仿宋_GB2312" w:hAnsi="仿宋_GB2312" w:eastAsia="仿宋_GB2312" w:cs="仿宋_GB2312"/>
          <w:bCs/>
          <w:color w:val="000000" w:themeColor="text1"/>
          <w:szCs w:val="32"/>
          <w14:textFill>
            <w14:solidFill>
              <w14:schemeClr w14:val="tx1"/>
            </w14:solidFill>
          </w14:textFill>
        </w:rPr>
        <w:t>；3.其他附件。</w:t>
      </w:r>
    </w:p>
    <w:p>
      <w:pPr>
        <w:keepNext w:val="0"/>
        <w:keepLines w:val="0"/>
        <w:pageBreakBefore w:val="0"/>
        <w:widowControl w:val="0"/>
        <w:kinsoku/>
        <w:wordWrap/>
        <w:overflowPunct/>
        <w:topLinePunct w:val="0"/>
        <w:bidi w:val="0"/>
        <w:adjustRightInd/>
        <w:snapToGrid/>
        <w:spacing w:line="540" w:lineRule="exact"/>
        <w:ind w:firstLine="642" w:firstLineChars="200"/>
        <w:textAlignment w:val="auto"/>
        <w:rPr>
          <w:rFonts w:ascii="楷体_GB2312" w:hAnsi="仿宋_GB2312" w:eastAsia="楷体_GB2312" w:cs="仿宋_GB2312"/>
          <w:b/>
          <w:color w:val="000000" w:themeColor="text1"/>
          <w:szCs w:val="32"/>
          <w14:textFill>
            <w14:solidFill>
              <w14:schemeClr w14:val="tx1"/>
            </w14:solidFill>
          </w14:textFill>
        </w:rPr>
      </w:pPr>
      <w:r>
        <w:rPr>
          <w:rFonts w:hint="eastAsia" w:ascii="楷体_GB2312" w:hAnsi="仿宋_GB2312" w:eastAsia="楷体_GB2312" w:cs="仿宋_GB2312"/>
          <w:b/>
          <w:color w:val="000000" w:themeColor="text1"/>
          <w:szCs w:val="32"/>
          <w14:textFill>
            <w14:solidFill>
              <w14:schemeClr w14:val="tx1"/>
            </w14:solidFill>
          </w14:textFill>
        </w:rPr>
        <w:t>（三）牵头科室</w:t>
      </w:r>
    </w:p>
    <w:p>
      <w:pPr>
        <w:pStyle w:val="3"/>
        <w:keepNext w:val="0"/>
        <w:keepLines w:val="0"/>
        <w:pageBreakBefore w:val="0"/>
        <w:widowControl w:val="0"/>
        <w:kinsoku/>
        <w:wordWrap/>
        <w:overflowPunct/>
        <w:topLinePunct w:val="0"/>
        <w:bidi w:val="0"/>
        <w:adjustRightInd/>
        <w:snapToGrid/>
        <w:spacing w:line="540" w:lineRule="exact"/>
        <w:ind w:firstLine="640" w:firstLineChars="200"/>
        <w:textAlignment w:val="auto"/>
        <w:rPr>
          <w:rFonts w:ascii="仿宋_GB2312" w:hAnsi="仿宋_GB2312" w:eastAsia="仿宋_GB2312" w:cs="仿宋_GB2312"/>
          <w:bCs/>
          <w:color w:val="000000" w:themeColor="text1"/>
          <w:szCs w:val="32"/>
          <w14:textFill>
            <w14:solidFill>
              <w14:schemeClr w14:val="tx1"/>
            </w14:solidFill>
          </w14:textFill>
        </w:rPr>
      </w:pPr>
      <w:r>
        <w:rPr>
          <w:rFonts w:hint="eastAsia" w:ascii="仿宋_GB2312" w:hAnsi="仿宋_GB2312" w:eastAsia="仿宋_GB2312" w:cs="仿宋_GB2312"/>
          <w:bCs/>
          <w:color w:val="000000" w:themeColor="text1"/>
          <w:szCs w:val="32"/>
          <w14:textFill>
            <w14:solidFill>
              <w14:schemeClr w14:val="tx1"/>
            </w14:solidFill>
          </w14:textFill>
        </w:rPr>
        <w:t>农社科。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6E0BA98"/>
    <w:rsid w:val="B6E0B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rPr>
      <w:rFonts w:ascii="Calibri" w:hAnsi="Calibri" w:eastAsia="宋体"/>
    </w:rPr>
  </w:style>
  <w:style w:type="paragraph" w:styleId="4">
    <w:name w:val="Body Text 2"/>
    <w:basedOn w:val="1"/>
    <w:unhideWhenUsed/>
    <w:qFormat/>
    <w:uiPriority w:val="99"/>
    <w:pPr>
      <w:spacing w:after="120" w:line="480" w:lineRule="auto"/>
    </w:pPr>
    <w:rPr>
      <w:rFonts w:ascii="Calibri" w:hAnsi="Calibri" w:eastAsia="宋体" w:cs="Times New Roman"/>
      <w:szCs w:val="24"/>
    </w:rPr>
  </w:style>
  <w:style w:type="paragraph" w:styleId="5">
    <w:name w:val="footnote text"/>
    <w:basedOn w:val="1"/>
    <w:qFormat/>
    <w:uiPriority w:val="0"/>
    <w:pPr>
      <w:snapToGrid w:val="0"/>
      <w:jc w:val="left"/>
    </w:pPr>
    <w:rPr>
      <w:rFonts w:eastAsia="宋体"/>
      <w:sz w:val="18"/>
      <w:szCs w:val="18"/>
    </w:rPr>
  </w:style>
  <w:style w:type="paragraph" w:customStyle="1" w:styleId="8">
    <w:name w:val="Default"/>
    <w:qFormat/>
    <w:uiPriority w:val="0"/>
    <w:pPr>
      <w:widowControl w:val="0"/>
      <w:autoSpaceDE w:val="0"/>
      <w:autoSpaceDN w:val="0"/>
      <w:adjustRightInd w:val="0"/>
    </w:pPr>
    <w:rPr>
      <w:rFonts w:ascii="仿宋_GB2312" w:eastAsia="仿宋_GB2312" w:cs="仿宋_GB2312"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2025-01-20T18:54:00Z</dcterms:created>
  <dc:creator>曹圣彬</dc:creator>
  <cp:lastModifiedBy>曹圣彬</cp:lastModifiedBy>
  <dcterms:modified xsi:type="dcterms:W3CDTF">2025-01-20T18:55:24Z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A465BD15FE9CC4AE752B8E677AD735CE</vt:lpwstr>
  </property>
</Properties>
</file>