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0" w:line="60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>
      <w:pPr>
        <w:snapToGrid w:val="0"/>
        <w:spacing w:after="0" w:line="60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江西省“十五五”促进全社会研发投入提升</w:t>
      </w:r>
    </w:p>
    <w:p>
      <w:pPr>
        <w:snapToGrid w:val="0"/>
        <w:spacing w:after="0"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行动方案</w:t>
      </w:r>
    </w:p>
    <w:p>
      <w:pPr>
        <w:keepNext w:val="0"/>
        <w:keepLines w:val="0"/>
        <w:widowControl/>
        <w:snapToGrid w:val="0"/>
        <w:spacing w:after="0" w:line="560" w:lineRule="exact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为汇聚全省创新资源，进一步提升全社会研发投入水平，以高强度研发投入支撑高水平科技创新，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引领带动全省高质量发展，</w:t>
      </w:r>
      <w:r>
        <w:rPr>
          <w:rFonts w:ascii="Times New Roman" w:hAnsi="Times New Roman" w:eastAsia="仿宋_GB2312"/>
          <w:color w:val="auto"/>
          <w:sz w:val="32"/>
          <w:szCs w:val="32"/>
        </w:rPr>
        <w:t>加快江西建设科技强省步伐，结合我省实际，制定本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行动方案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outlineLvl w:val="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深入学习贯彻党的二十大、二十届历次全会及习近平总书记考察江西重要讲话精神，坚决落实省委十五届九次全会部署要求，以推动科技创新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</w:t>
      </w:r>
      <w:r>
        <w:rPr>
          <w:rFonts w:ascii="Times New Roman" w:hAnsi="Times New Roman" w:eastAsia="仿宋_GB2312"/>
          <w:color w:val="auto"/>
          <w:sz w:val="32"/>
          <w:szCs w:val="32"/>
        </w:rPr>
        <w:t>产业创新深度融合为牵引，纵深推进科技兴赣六大行动，聚力提升原始创新能力，以强化财政科技投入引导效能，激发企业研发投入内生动力，提升高校、科研院所科技供给水平，创新科技金融服务机制为路径，推动全社会研发投入量质齐升，新质生产力加速培育壮大，为建设社会主义现代化江西提供有力科技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到2030年，全省全社会研发投入强度达到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2.5%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左右</w:t>
      </w:r>
      <w:r>
        <w:rPr>
          <w:rFonts w:ascii="Times New Roman" w:hAnsi="Times New Roman" w:eastAsia="仿宋_GB2312"/>
          <w:color w:val="auto"/>
          <w:sz w:val="32"/>
          <w:szCs w:val="32"/>
        </w:rPr>
        <w:t>，逐步缩小与全国平均水平差距，研发投入总量达到1150亿元。其中，规模以上工业企业研发投入强度力争达到1.5%以上，高校和科研院所研发经费占比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、全省基础研究经费占比</w:t>
      </w:r>
      <w:r>
        <w:rPr>
          <w:rFonts w:ascii="Times New Roman" w:hAnsi="Times New Roman" w:eastAsia="仿宋_GB2312"/>
          <w:color w:val="auto"/>
          <w:sz w:val="32"/>
          <w:szCs w:val="32"/>
        </w:rPr>
        <w:t>稳步提升。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outlineLvl w:val="0"/>
        <w:rPr>
          <w:rFonts w:ascii="Times New Roman" w:hAnsi="Times New Roman" w:eastAsia="方正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二、重点任务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1"/>
        <w:rPr>
          <w:rFonts w:ascii="Times New Roman" w:hAnsi="Times New Roman" w:eastAsia="楷体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（一）强化财政资金引导激励作用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．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加大财政科技投入力度。</w:t>
      </w:r>
      <w:r>
        <w:rPr>
          <w:rFonts w:ascii="Times New Roman" w:hAnsi="Times New Roman" w:eastAsia="仿宋_GB2312"/>
          <w:color w:val="auto"/>
          <w:sz w:val="32"/>
          <w:szCs w:val="32"/>
        </w:rPr>
        <w:t>深化财政科技经费改革，强化财政科技投入保障。支持省内科技创新主体申报国家“两重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”“</w:t>
      </w:r>
      <w:r>
        <w:rPr>
          <w:rFonts w:ascii="Times New Roman" w:hAnsi="Times New Roman" w:eastAsia="仿宋_GB2312"/>
          <w:color w:val="auto"/>
          <w:sz w:val="32"/>
          <w:szCs w:val="32"/>
        </w:rPr>
        <w:t>两新”项目，承担国家重大、重点科技项目。</w:t>
      </w:r>
      <w:r>
        <w:rPr>
          <w:rFonts w:ascii="Times New Roman" w:hAnsi="Times New Roman" w:eastAsia="楷体_GB2312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省财政厅、</w:t>
      </w:r>
      <w:r>
        <w:rPr>
          <w:rFonts w:ascii="Times New Roman" w:hAnsi="Times New Roman" w:eastAsia="楷体_GB2312"/>
          <w:color w:val="auto"/>
          <w:sz w:val="32"/>
          <w:szCs w:val="32"/>
        </w:rPr>
        <w:t>省科技厅、省发展改革委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，</w:t>
      </w:r>
      <w:r>
        <w:rPr>
          <w:rFonts w:ascii="Times New Roman" w:hAnsi="Times New Roman" w:eastAsia="楷体_GB2312"/>
          <w:color w:val="auto"/>
          <w:sz w:val="32"/>
          <w:szCs w:val="32"/>
        </w:rPr>
        <w:t>各设区市人民政府、赣江新区管委会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按职责分工负责</w:t>
      </w:r>
      <w:r>
        <w:rPr>
          <w:rFonts w:ascii="Times New Roman" w:hAnsi="Times New Roman" w:eastAsia="楷体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2"/>
        <w:rPr>
          <w:rFonts w:ascii="Times New Roman" w:hAnsi="Times New Roman" w:eastAsia="楷体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  <w:lang w:val="en"/>
        </w:rPr>
        <w:t>2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val="en"/>
        </w:rPr>
        <w:t>．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  <w:lang w:val="en"/>
        </w:rPr>
        <w:t>优化财政科技投向结构。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加强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资金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统筹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配置</w:t>
      </w:r>
      <w:r>
        <w:rPr>
          <w:rFonts w:ascii="Times New Roman" w:hAnsi="Times New Roman" w:eastAsia="仿宋_GB2312"/>
          <w:color w:val="auto"/>
          <w:sz w:val="32"/>
          <w:szCs w:val="32"/>
        </w:rPr>
        <w:t>，推动科技、教育、人才、工信等财政科技资金一体谋划布局，持续优化财政科技资金配置。优化财政科技资金投入结构，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加大对</w:t>
      </w:r>
      <w:r>
        <w:rPr>
          <w:rFonts w:ascii="Times New Roman" w:hAnsi="Times New Roman" w:eastAsia="仿宋_GB2312"/>
          <w:color w:val="auto"/>
          <w:sz w:val="32"/>
          <w:szCs w:val="32"/>
        </w:rPr>
        <w:t>重点产业领域、重大科研攻关项目、重点创新主体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的投入</w:t>
      </w:r>
      <w:r>
        <w:rPr>
          <w:rFonts w:ascii="Times New Roman" w:hAnsi="Times New Roman" w:eastAsia="仿宋_GB2312"/>
          <w:color w:val="auto"/>
          <w:sz w:val="32"/>
          <w:szCs w:val="32"/>
        </w:rPr>
        <w:t>，着力补强科技创新薄弱环节，提升财政科技资金投入质效。</w:t>
      </w:r>
      <w:r>
        <w:rPr>
          <w:rFonts w:ascii="Times New Roman" w:hAnsi="Times New Roman" w:eastAsia="楷体_GB2312"/>
          <w:color w:val="auto"/>
          <w:sz w:val="32"/>
          <w:szCs w:val="32"/>
        </w:rPr>
        <w:t>（省科技厅、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省财政厅、</w:t>
      </w:r>
      <w:r>
        <w:rPr>
          <w:rFonts w:ascii="Times New Roman" w:hAnsi="Times New Roman" w:eastAsia="楷体_GB2312"/>
          <w:color w:val="auto"/>
          <w:sz w:val="32"/>
          <w:szCs w:val="32"/>
        </w:rPr>
        <w:t>省教育厅、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省委人才办、</w:t>
      </w:r>
      <w:r>
        <w:rPr>
          <w:rFonts w:ascii="Times New Roman" w:hAnsi="Times New Roman" w:eastAsia="楷体_GB2312"/>
          <w:color w:val="auto"/>
          <w:sz w:val="32"/>
          <w:szCs w:val="32"/>
        </w:rPr>
        <w:t>省工业和信息化厅，各设区市人民政府、赣江新区管委会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按职责分工负责</w:t>
      </w:r>
      <w:r>
        <w:rPr>
          <w:rFonts w:ascii="Times New Roman" w:hAnsi="Times New Roman" w:eastAsia="楷体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2"/>
        <w:rPr>
          <w:rFonts w:ascii="Times New Roman" w:hAnsi="Times New Roman" w:eastAsia="楷体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．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发挥财政科技资金激励作用。</w:t>
      </w:r>
      <w:r>
        <w:rPr>
          <w:rFonts w:ascii="Times New Roman" w:hAnsi="Times New Roman" w:eastAsia="仿宋_GB2312"/>
          <w:color w:val="auto"/>
          <w:sz w:val="32"/>
          <w:szCs w:val="32"/>
        </w:rPr>
        <w:t>健全财政科技资金配置与研发投入水平、创新绩效联动机制，把研发投入强度、原始创新能力、成果转化效能作为各类创新主体资金配置的核心依据，鼓励向研发投入大、强度高的企业、高校及科研院所倾斜，激励创新主体“向高向新”发展。</w:t>
      </w:r>
      <w:r>
        <w:rPr>
          <w:rFonts w:ascii="Times New Roman" w:hAnsi="Times New Roman" w:eastAsia="楷体_GB2312"/>
          <w:color w:val="auto"/>
          <w:sz w:val="32"/>
          <w:szCs w:val="32"/>
        </w:rPr>
        <w:t>（省科技厅、省财政厅、省工业和信息化厅、省教育厅、省发展改革委，各设区市人民政府、赣江新区管委会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按职责分工负责</w:t>
      </w:r>
      <w:r>
        <w:rPr>
          <w:rFonts w:ascii="Times New Roman" w:hAnsi="Times New Roman" w:eastAsia="楷体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1"/>
        <w:rPr>
          <w:rFonts w:ascii="Times New Roman" w:hAnsi="Times New Roman" w:eastAsia="楷体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（二）激发企业研发投入内生动力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2"/>
        <w:rPr>
          <w:rFonts w:ascii="Times New Roman" w:hAnsi="Times New Roman" w:eastAsia="楷体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4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．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实施企业研发投入补助。</w:t>
      </w:r>
      <w:r>
        <w:rPr>
          <w:rFonts w:ascii="Times New Roman" w:hAnsi="Times New Roman" w:eastAsia="仿宋_GB2312"/>
          <w:color w:val="auto"/>
          <w:sz w:val="32"/>
          <w:szCs w:val="32"/>
        </w:rPr>
        <w:t>实施省级企业研发投入补助政策，依据企业研发投入情况给予后补助支持，逐步实现“免申即享”，引导企业持续加大研发经费投入。各地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应</w:t>
      </w:r>
      <w:r>
        <w:rPr>
          <w:rFonts w:ascii="Times New Roman" w:hAnsi="Times New Roman" w:eastAsia="仿宋_GB2312"/>
          <w:color w:val="auto"/>
          <w:sz w:val="32"/>
          <w:szCs w:val="32"/>
        </w:rPr>
        <w:t>因地制宜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研究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促进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企业研发投入支持举措</w:t>
      </w:r>
      <w:r>
        <w:rPr>
          <w:rFonts w:ascii="Times New Roman" w:hAnsi="Times New Roman" w:eastAsia="仿宋_GB2312"/>
          <w:color w:val="auto"/>
          <w:sz w:val="32"/>
          <w:szCs w:val="32"/>
        </w:rPr>
        <w:t>，与省级政策形成合力，共同营造“投研发、投创新”的良好氛围。</w:t>
      </w:r>
      <w:r>
        <w:rPr>
          <w:rFonts w:ascii="Times New Roman" w:hAnsi="Times New Roman" w:eastAsia="楷体_GB2312"/>
          <w:color w:val="auto"/>
          <w:sz w:val="32"/>
          <w:szCs w:val="32"/>
        </w:rPr>
        <w:t>（省科技厅、省财政厅、省工业和信息化厅、省政务服务办，各设区市人民政府、赣江新区管委会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按职责分工负责</w:t>
      </w:r>
      <w:r>
        <w:rPr>
          <w:rFonts w:ascii="Times New Roman" w:hAnsi="Times New Roman" w:eastAsia="楷体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2"/>
        <w:rPr>
          <w:rFonts w:ascii="Times New Roman" w:hAnsi="Times New Roman" w:eastAsia="楷体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5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．持续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推进科技型企业梯次培育。</w:t>
      </w:r>
      <w:r>
        <w:rPr>
          <w:rFonts w:ascii="Times New Roman" w:hAnsi="Times New Roman" w:eastAsia="仿宋_GB2312"/>
          <w:color w:val="auto"/>
          <w:sz w:val="32"/>
          <w:szCs w:val="32"/>
        </w:rPr>
        <w:t>强化科技型企业梯次精准培育，帮扶企业对标新技术、新产品优化升级。鼓励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有条件的</w:t>
      </w:r>
      <w:r>
        <w:rPr>
          <w:rFonts w:ascii="Times New Roman" w:hAnsi="Times New Roman" w:eastAsia="仿宋_GB2312"/>
          <w:color w:val="auto"/>
          <w:sz w:val="32"/>
          <w:szCs w:val="32"/>
        </w:rPr>
        <w:t>企业面向全球竞争需要和国产替代牵头开展链式创新，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培育</w:t>
      </w:r>
      <w:r>
        <w:rPr>
          <w:rFonts w:ascii="Times New Roman" w:hAnsi="Times New Roman" w:eastAsia="仿宋_GB2312"/>
          <w:color w:val="auto"/>
          <w:sz w:val="32"/>
          <w:szCs w:val="32"/>
        </w:rPr>
        <w:t>国家科技领军企业和世界一流企业；支持高成长性科技企业提升创新效能，形成特色产业领域竞争优势。推动高新技术企业、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专精特新企业、</w:t>
      </w:r>
      <w:r>
        <w:rPr>
          <w:rFonts w:ascii="Times New Roman" w:hAnsi="Times New Roman" w:eastAsia="仿宋_GB2312"/>
          <w:color w:val="auto"/>
          <w:sz w:val="32"/>
          <w:szCs w:val="32"/>
        </w:rPr>
        <w:t>科技型和创新型中小企业增量提质，建立“小升规”重点企业培育库，支持企业释放创新活力，实现在优势领域的技术突破，加快成长，实现升规纳统。到2030年，有效期内高新技术企业达到10000家以上，形成梯次分明、活力充沛的科技型企业发展格局。</w:t>
      </w:r>
      <w:r>
        <w:rPr>
          <w:rFonts w:ascii="Times New Roman" w:hAnsi="Times New Roman" w:eastAsia="楷体_GB2312"/>
          <w:color w:val="auto"/>
          <w:sz w:val="32"/>
          <w:szCs w:val="32"/>
        </w:rPr>
        <w:t>（省科技厅、省工业和信息化厅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按职责分工负责</w:t>
      </w:r>
      <w:r>
        <w:rPr>
          <w:rFonts w:ascii="Times New Roman" w:hAnsi="Times New Roman" w:eastAsia="楷体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2"/>
        <w:rPr>
          <w:rFonts w:ascii="Times New Roman" w:hAnsi="Times New Roman" w:eastAsia="楷体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6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．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推动企业研发活动扩面提质。</w:t>
      </w:r>
      <w:r>
        <w:rPr>
          <w:rFonts w:ascii="Times New Roman" w:hAnsi="Times New Roman" w:eastAsia="仿宋_GB2312"/>
          <w:color w:val="auto"/>
          <w:sz w:val="32"/>
          <w:szCs w:val="32"/>
        </w:rPr>
        <w:t>支持企业牵头或参与创建重大科技创新平台，推动企业研发机构增量提级。建立企业研发投入全景数据库，精准掌握企业研发投入底数，分类分层开展指导，推动研发投入质量提升。强化企业创新需求源头挖掘，指导企业聚焦市场需求、前沿趋势等凝练技术问题。引导企业树立原始创新和知识产权导向的技术攻关理念，推动企业将新技术、新工艺、新产品等作为内部研发项目立项基础。充分发挥税收优惠政策对企业研发活动的激励作用，推进企业应享尽享税收优惠政策。到2030年，有研发活动的规模以上工业企业占比达30%以上，企业研发活动覆盖面和质量显著提升。</w:t>
      </w:r>
      <w:r>
        <w:rPr>
          <w:rFonts w:ascii="Times New Roman" w:hAnsi="Times New Roman" w:eastAsia="楷体_GB2312"/>
          <w:color w:val="auto"/>
          <w:sz w:val="32"/>
          <w:szCs w:val="32"/>
        </w:rPr>
        <w:t>（省科技厅、省工业和信息化厅、省发展改革委、省税务局，各设区市人民政府、赣江新区管委会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按职责分工负责</w:t>
      </w:r>
      <w:r>
        <w:rPr>
          <w:rFonts w:ascii="Times New Roman" w:hAnsi="Times New Roman" w:eastAsia="楷体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2"/>
        <w:rPr>
          <w:rFonts w:ascii="Times New Roman" w:hAnsi="Times New Roman" w:eastAsia="楷体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．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引导企业建立研发准备金制度。</w:t>
      </w:r>
      <w:r>
        <w:rPr>
          <w:rFonts w:ascii="Times New Roman" w:hAnsi="Times New Roman" w:eastAsia="仿宋_GB2312"/>
          <w:color w:val="auto"/>
          <w:sz w:val="32"/>
          <w:szCs w:val="32"/>
        </w:rPr>
        <w:t>指导企业按照国家会计政策规定，规范设立研发准备金账户，专项用于技术研发、人才引育、成果转化等研发活动。对建立研发准备金制度并按规定规范使用资金的企业，各地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应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加大政策</w:t>
      </w:r>
      <w:r>
        <w:rPr>
          <w:rFonts w:ascii="Times New Roman" w:hAnsi="Times New Roman" w:eastAsia="仿宋_GB2312"/>
          <w:color w:val="auto"/>
          <w:sz w:val="32"/>
          <w:szCs w:val="32"/>
        </w:rPr>
        <w:t>支持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力度</w:t>
      </w:r>
      <w:r>
        <w:rPr>
          <w:rFonts w:ascii="Times New Roman" w:hAnsi="Times New Roman" w:eastAsia="仿宋_GB2312"/>
          <w:color w:val="auto"/>
          <w:sz w:val="32"/>
          <w:szCs w:val="32"/>
        </w:rPr>
        <w:t>。到2030年，全省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规模以上</w:t>
      </w:r>
      <w:r>
        <w:rPr>
          <w:rFonts w:ascii="Times New Roman" w:hAnsi="Times New Roman" w:eastAsia="仿宋_GB2312"/>
          <w:color w:val="auto"/>
          <w:sz w:val="32"/>
          <w:szCs w:val="32"/>
        </w:rPr>
        <w:t>工业企业研发准备金制度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覆盖面稳步提高</w:t>
      </w:r>
      <w:r>
        <w:rPr>
          <w:rFonts w:ascii="Times New Roman" w:hAnsi="Times New Roman" w:eastAsia="仿宋_GB2312"/>
          <w:color w:val="auto"/>
          <w:sz w:val="32"/>
          <w:szCs w:val="32"/>
        </w:rPr>
        <w:t>，企业研发投入稳定性和可持续性显著提升。</w:t>
      </w:r>
      <w:r>
        <w:rPr>
          <w:rFonts w:ascii="Times New Roman" w:hAnsi="Times New Roman" w:eastAsia="楷体_GB2312"/>
          <w:color w:val="auto"/>
          <w:sz w:val="32"/>
          <w:szCs w:val="32"/>
        </w:rPr>
        <w:t>（省科技厅、省工业和信息化厅、省财政厅、省国资委，各设区市人民政府、赣江新区管委会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按职责分工负责</w:t>
      </w:r>
      <w:r>
        <w:rPr>
          <w:rFonts w:ascii="Times New Roman" w:hAnsi="Times New Roman" w:eastAsia="楷体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2"/>
        <w:rPr>
          <w:rFonts w:ascii="Times New Roman" w:hAnsi="Times New Roman" w:eastAsia="楷体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8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．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健全国有企业研发投入配套机制。</w:t>
      </w:r>
      <w:r>
        <w:rPr>
          <w:rFonts w:ascii="Times New Roman" w:hAnsi="Times New Roman" w:eastAsia="仿宋_GB2312"/>
          <w:color w:val="auto"/>
          <w:sz w:val="32"/>
          <w:szCs w:val="32"/>
        </w:rPr>
        <w:t>统筹部分省属国有资本经营预算，支持省属企业科技创新。建立国有企业研发投入刚性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评价</w:t>
      </w:r>
      <w:r>
        <w:rPr>
          <w:rFonts w:ascii="Times New Roman" w:hAnsi="Times New Roman" w:eastAsia="仿宋_GB2312"/>
          <w:color w:val="auto"/>
          <w:sz w:val="32"/>
          <w:szCs w:val="32"/>
        </w:rPr>
        <w:t>机制，将研发投入增速、强度纳入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绩效评价</w:t>
      </w:r>
      <w:r>
        <w:rPr>
          <w:rFonts w:ascii="Times New Roman" w:hAnsi="Times New Roman" w:eastAsia="仿宋_GB2312"/>
          <w:color w:val="auto"/>
          <w:sz w:val="32"/>
          <w:szCs w:val="32"/>
        </w:rPr>
        <w:t>范畴。深化实施国有企业研发费用视同利润加回制度，加大对国家和省级重大科研项目、重点科技项目的研发费用加回比例，推动国有企业研发投入合理增长。鼓励省属企业构建创新导向的激励机制，对产出科技创新成果，实现重大技术突破的研发人员在职务晋升、薪资奖励等方面给予倾斜。到2030年，省属企业研发投入年均增速高于营业收入年均增速，实现研发投入强度刚性增长。</w:t>
      </w:r>
      <w:r>
        <w:rPr>
          <w:rFonts w:ascii="Times New Roman" w:hAnsi="Times New Roman" w:eastAsia="楷体_GB2312"/>
          <w:color w:val="auto"/>
          <w:sz w:val="32"/>
          <w:szCs w:val="32"/>
        </w:rPr>
        <w:t>（省国资委、省科技厅、省发展改革委、省工业和信息化厅、省人力资源社会保障厅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按职责分工负责</w:t>
      </w:r>
      <w:r>
        <w:rPr>
          <w:rFonts w:ascii="Times New Roman" w:hAnsi="Times New Roman" w:eastAsia="楷体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1"/>
        <w:rPr>
          <w:rFonts w:ascii="Times New Roman" w:hAnsi="Times New Roman" w:eastAsia="楷体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（三）提升高校、科研院所科技供给能力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2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9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．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引导高校、科研院所加大研发投入。</w:t>
      </w:r>
      <w:r>
        <w:rPr>
          <w:rFonts w:ascii="Times New Roman" w:hAnsi="Times New Roman" w:eastAsia="仿宋_GB2312"/>
          <w:color w:val="auto"/>
          <w:sz w:val="32"/>
          <w:szCs w:val="32"/>
        </w:rPr>
        <w:t>优化高校、科研院所财政性经费绩效评价，将研发投入强度、研发成果转化成效作为高校、科研院所绩效评价和创新资源配置的重要依据，推动其提高财政性经费用于科技创新和研发活动的比重。支持高校、科研院所主动开展企业服务，争取横向项目合作经费，拓展研发投入资金来源。鼓励高校统筹生均拨款、办学收入等资金设立基本科研业务费。“十五五”期间，全省高校、科研院所研发投入年均增速达到12%以上。</w:t>
      </w:r>
      <w:r>
        <w:rPr>
          <w:rFonts w:ascii="Times New Roman" w:hAnsi="Times New Roman" w:eastAsia="楷体_GB2312"/>
          <w:color w:val="auto"/>
          <w:sz w:val="32"/>
          <w:szCs w:val="32"/>
        </w:rPr>
        <w:t>（省教育厅、省科技厅、省财政厅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按职责分工负责</w:t>
      </w:r>
      <w:r>
        <w:rPr>
          <w:rFonts w:ascii="Times New Roman" w:hAnsi="Times New Roman" w:eastAsia="楷体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2"/>
        <w:rPr>
          <w:rFonts w:ascii="Times New Roman" w:hAnsi="Times New Roman" w:eastAsia="楷体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10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．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加强原始创新供给。</w:t>
      </w:r>
      <w:r>
        <w:rPr>
          <w:rFonts w:ascii="Times New Roman" w:hAnsi="Times New Roman" w:eastAsia="仿宋_GB2312"/>
          <w:color w:val="auto"/>
          <w:sz w:val="32"/>
          <w:szCs w:val="32"/>
        </w:rPr>
        <w:t>支持高校、科研院所围绕地方优势特色产业、战略性新兴产业、未来产业和产业新赛道等，开展基础研究、应用基础研究和前沿交叉学科研究。鼓励有条件的高校、科研院所共建基础研究联合基金，聚焦新质生产力源头供给，支持科研人员开展原始创新和前沿探索，产出一批以“用”为导向的应用基础研究成果。支持高校、科研院所参与国家实验室及国家重大科研基础设施建设，推动现有全国重点实验室、国家产业技术工程化中心提质升级。到2030年，高校、科研院所的基础研究、应用基础研究水平明显提升，基础研究成果转化成效显著增强。</w:t>
      </w:r>
      <w:r>
        <w:rPr>
          <w:rFonts w:ascii="Times New Roman" w:hAnsi="Times New Roman" w:eastAsia="楷体_GB2312"/>
          <w:color w:val="auto"/>
          <w:sz w:val="32"/>
          <w:szCs w:val="32"/>
        </w:rPr>
        <w:t>（省科技厅、省教育厅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按职责分工负责</w:t>
      </w:r>
      <w:r>
        <w:rPr>
          <w:rFonts w:ascii="Times New Roman" w:hAnsi="Times New Roman" w:eastAsia="楷体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2"/>
        <w:rPr>
          <w:rFonts w:ascii="Times New Roman" w:hAnsi="Times New Roman" w:eastAsia="楷体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11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．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健全产学研协同创新机制。</w:t>
      </w:r>
      <w:r>
        <w:rPr>
          <w:rFonts w:ascii="Times New Roman" w:hAnsi="Times New Roman" w:eastAsia="仿宋_GB2312"/>
          <w:color w:val="auto"/>
          <w:sz w:val="32"/>
          <w:szCs w:val="32"/>
        </w:rPr>
        <w:t>坚持科技人才引育与产业创新深度融合，支持高校、科研院所围绕“1269”重点产业链和未来产业需求，优化人才培养方案，扩大人才培养规模，引进前沿领域科技人才，持续强化产业创新和研发攻关的人才供给。支持高校、科研院所与企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相向而行，</w:t>
      </w:r>
      <w:r>
        <w:rPr>
          <w:rFonts w:ascii="Times New Roman" w:hAnsi="Times New Roman" w:eastAsia="仿宋_GB2312"/>
          <w:color w:val="auto"/>
          <w:sz w:val="32"/>
          <w:szCs w:val="32"/>
        </w:rPr>
        <w:t>共建研发平台、技术转移机构、中试基地等。健全高校、科研院所与企业协同攻关、成果转化机制，鼓励高校、科研院所深入产业一线开展技术研发服务，提升技术供给质量。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健全</w:t>
      </w:r>
      <w:r>
        <w:rPr>
          <w:rFonts w:ascii="Times New Roman" w:hAnsi="Times New Roman" w:eastAsia="仿宋_GB2312"/>
          <w:color w:val="auto"/>
          <w:sz w:val="32"/>
          <w:szCs w:val="32"/>
        </w:rPr>
        <w:t>高校、科研院所科技资源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开放共享机制，</w:t>
      </w:r>
      <w:r>
        <w:rPr>
          <w:rFonts w:ascii="Times New Roman" w:hAnsi="Times New Roman" w:eastAsia="仿宋_GB2312"/>
          <w:color w:val="auto"/>
          <w:sz w:val="32"/>
          <w:szCs w:val="32"/>
        </w:rPr>
        <w:t>面向企业开放共享大型科学仪器、中试设备、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科技信息</w:t>
      </w:r>
      <w:r>
        <w:rPr>
          <w:rFonts w:ascii="Times New Roman" w:hAnsi="Times New Roman" w:eastAsia="仿宋_GB2312"/>
          <w:color w:val="auto"/>
          <w:sz w:val="32"/>
          <w:szCs w:val="32"/>
        </w:rPr>
        <w:t>资源等，开展开放共享分类绩效评价，持续提升开放共享成效。建立智能化产学研高效协同机制，探索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人工智能</w:t>
      </w:r>
      <w:r>
        <w:rPr>
          <w:rFonts w:ascii="Times New Roman" w:hAnsi="Times New Roman" w:eastAsia="仿宋_GB2312"/>
          <w:color w:val="auto"/>
          <w:sz w:val="32"/>
          <w:szCs w:val="32"/>
        </w:rPr>
        <w:t>大模型深度赋能产学研全链条，推动技术攻关、成果转化与产业落地高效衔接。</w:t>
      </w:r>
      <w:r>
        <w:rPr>
          <w:rFonts w:ascii="Times New Roman" w:hAnsi="Times New Roman" w:eastAsia="楷体_GB2312"/>
          <w:color w:val="auto"/>
          <w:sz w:val="32"/>
          <w:szCs w:val="32"/>
        </w:rPr>
        <w:t>（省科技厅、省教育厅、省工业和信息化厅、省人力资源社会保障厅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按职责分工负责</w:t>
      </w:r>
      <w:r>
        <w:rPr>
          <w:rFonts w:ascii="Times New Roman" w:hAnsi="Times New Roman" w:eastAsia="楷体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1"/>
        <w:rPr>
          <w:rFonts w:ascii="Times New Roman" w:hAnsi="Times New Roman" w:eastAsia="楷体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（四）提升科技金融对研发投入支撑水平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2"/>
        <w:rPr>
          <w:rFonts w:ascii="Times New Roman" w:hAnsi="Times New Roman" w:eastAsia="楷体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12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．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持续优化科技信贷服务模式。</w:t>
      </w:r>
      <w:r>
        <w:rPr>
          <w:rFonts w:ascii="Times New Roman" w:hAnsi="Times New Roman" w:eastAsia="仿宋_GB2312"/>
          <w:color w:val="auto"/>
          <w:sz w:val="32"/>
          <w:szCs w:val="32"/>
        </w:rPr>
        <w:t>聚焦科技型企业全生命周期和“研发-中试-产业化”各环节需求，构建阶段适配、产品多元的科技信贷服务体系。加快推进“赣科新易贷”“赣科引领贷”“赣科中试贷”“赣科积分贷”等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科技信贷</w:t>
      </w:r>
      <w:r>
        <w:rPr>
          <w:rFonts w:ascii="Times New Roman" w:hAnsi="Times New Roman" w:eastAsia="仿宋_GB2312"/>
          <w:color w:val="auto"/>
          <w:sz w:val="32"/>
          <w:szCs w:val="32"/>
        </w:rPr>
        <w:t>产品扩面增量，深化推广“益企成长”银企中长期战略合作模式。发挥科技创新和技术改造再贷款等结构性货币政策工具引导作用，激励金融机构加大对国家重大科技任务、科技型中小企业以及重点领域技术改造和设备更新项目的支持力度。引导金融机构持续提升专业化服务能力，支持有条件的金融机构在高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技术产业开发</w:t>
      </w:r>
      <w:r>
        <w:rPr>
          <w:rFonts w:ascii="Times New Roman" w:hAnsi="Times New Roman" w:eastAsia="仿宋_GB2312"/>
          <w:color w:val="auto"/>
          <w:sz w:val="32"/>
          <w:szCs w:val="32"/>
        </w:rPr>
        <w:t>区、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经济技术</w:t>
      </w:r>
      <w:r>
        <w:rPr>
          <w:rFonts w:ascii="Times New Roman" w:hAnsi="Times New Roman" w:eastAsia="仿宋_GB2312"/>
          <w:color w:val="auto"/>
          <w:sz w:val="32"/>
          <w:szCs w:val="32"/>
        </w:rPr>
        <w:t>开发区等科技资源密集区域规范布局科技金融专业或特色分支机构。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“十五五”期间</w:t>
      </w:r>
      <w:r>
        <w:rPr>
          <w:rFonts w:ascii="Times New Roman" w:hAnsi="Times New Roman" w:eastAsia="仿宋_GB2312"/>
          <w:color w:val="auto"/>
          <w:sz w:val="32"/>
          <w:szCs w:val="32"/>
        </w:rPr>
        <w:t>，全省科技贷款增速保持高于各项贷款增速。</w:t>
      </w:r>
      <w:r>
        <w:rPr>
          <w:rFonts w:ascii="Times New Roman" w:hAnsi="Times New Roman" w:eastAsia="楷体_GB2312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中国人民银行江西省分行</w:t>
      </w:r>
      <w:r>
        <w:rPr>
          <w:rFonts w:ascii="Times New Roman" w:hAnsi="Times New Roman" w:eastAsia="楷体_GB2312"/>
          <w:color w:val="auto"/>
          <w:sz w:val="32"/>
          <w:szCs w:val="32"/>
        </w:rPr>
        <w:t>、省科技厅、江西金融监管局、省地方金融管理局，各设区市人民政府、赣江新区管委会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按职责分工负责</w:t>
      </w:r>
      <w:r>
        <w:rPr>
          <w:rFonts w:ascii="Times New Roman" w:hAnsi="Times New Roman" w:eastAsia="楷体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2"/>
        <w:rPr>
          <w:rFonts w:ascii="Times New Roman" w:hAnsi="Times New Roman" w:eastAsia="楷体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13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．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健全科创投资基金支持体系。</w:t>
      </w:r>
      <w:r>
        <w:rPr>
          <w:rFonts w:ascii="Times New Roman" w:hAnsi="Times New Roman" w:eastAsia="仿宋_GB2312"/>
          <w:color w:val="auto"/>
          <w:sz w:val="32"/>
          <w:szCs w:val="32"/>
        </w:rPr>
        <w:t>加强与国家创业投资引导基金对接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合作</w:t>
      </w:r>
      <w:r>
        <w:rPr>
          <w:rFonts w:ascii="Times New Roman" w:hAnsi="Times New Roman" w:eastAsia="仿宋_GB2312"/>
          <w:color w:val="auto"/>
          <w:sz w:val="32"/>
          <w:szCs w:val="32"/>
        </w:rPr>
        <w:t>。充分发挥政府投资基金引导作用，支持基金重点投向科技成果转化项目及早期科技型企业，充分发挥基金引导效能，撬动更多社会资本投早、投小、投长期、投硬科技。引导信贷、保险等机构按照市场化法治化原则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创业投资支持的</w:t>
      </w:r>
      <w:r>
        <w:rPr>
          <w:rFonts w:ascii="Times New Roman" w:hAnsi="Times New Roman" w:eastAsia="仿宋_GB2312"/>
          <w:color w:val="auto"/>
          <w:sz w:val="32"/>
          <w:szCs w:val="32"/>
        </w:rPr>
        <w:t>企业简化审批流程，在费率、期限等方面给予更大支持力度。完善创业投资相应管理机制和绩效评价机制，提高投早、投小损失容忍率，激发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创业投资</w:t>
      </w:r>
      <w:r>
        <w:rPr>
          <w:rFonts w:ascii="Times New Roman" w:hAnsi="Times New Roman" w:eastAsia="仿宋_GB2312"/>
          <w:color w:val="auto"/>
          <w:sz w:val="32"/>
          <w:szCs w:val="32"/>
        </w:rPr>
        <w:t>机构内生动力。到2030年，全省创业风险投资规模显著提升。</w:t>
      </w:r>
      <w:r>
        <w:rPr>
          <w:rFonts w:ascii="Times New Roman" w:hAnsi="Times New Roman" w:eastAsia="楷体_GB2312"/>
          <w:color w:val="auto"/>
          <w:sz w:val="32"/>
          <w:szCs w:val="32"/>
        </w:rPr>
        <w:t>（省国资委、省发展改革委、省科技厅、省地方金融管理局、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中国人民银行江西省分行</w:t>
      </w:r>
      <w:r>
        <w:rPr>
          <w:rFonts w:ascii="Times New Roman" w:hAnsi="Times New Roman" w:eastAsia="楷体_GB2312"/>
          <w:color w:val="auto"/>
          <w:sz w:val="32"/>
          <w:szCs w:val="32"/>
        </w:rPr>
        <w:t>、江西金融监管局</w:t>
      </w:r>
      <w:r>
        <w:rPr>
          <w:rFonts w:hint="eastAsia" w:ascii="Times New Roman" w:hAnsi="Times New Roman" w:eastAsia="楷体_GB2312"/>
          <w:color w:val="auto"/>
          <w:sz w:val="32"/>
          <w:szCs w:val="32"/>
          <w:lang w:eastAsia="zh-CN"/>
        </w:rPr>
        <w:t>、江西证监局</w:t>
      </w:r>
      <w:r>
        <w:rPr>
          <w:rFonts w:ascii="Times New Roman" w:hAnsi="Times New Roman" w:eastAsia="楷体_GB2312"/>
          <w:color w:val="auto"/>
          <w:sz w:val="32"/>
          <w:szCs w:val="32"/>
        </w:rPr>
        <w:t>，各设区市人民政府、赣江新区管委会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按职责分工负责</w:t>
      </w:r>
      <w:r>
        <w:rPr>
          <w:rFonts w:ascii="Times New Roman" w:hAnsi="Times New Roman" w:eastAsia="楷体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2"/>
        <w:rPr>
          <w:rFonts w:ascii="Times New Roman" w:hAnsi="Times New Roman" w:eastAsia="楷体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14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．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创新科技保险产品和服务。</w:t>
      </w:r>
      <w:r>
        <w:rPr>
          <w:rFonts w:ascii="Times New Roman" w:hAnsi="Times New Roman" w:eastAsia="仿宋_GB2312"/>
          <w:color w:val="auto"/>
          <w:sz w:val="32"/>
          <w:szCs w:val="32"/>
        </w:rPr>
        <w:t>建立健全“政策引导+市场化运作”的科技保险体系，加强对重大科技任务和科技创新关键薄弱环节的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保险服务</w:t>
      </w:r>
      <w:r>
        <w:rPr>
          <w:rFonts w:ascii="Times New Roman" w:hAnsi="Times New Roman" w:eastAsia="仿宋_GB2312"/>
          <w:color w:val="auto"/>
          <w:sz w:val="32"/>
          <w:szCs w:val="32"/>
        </w:rPr>
        <w:t>。引导保险机构针对国家级、省级重大科研项目，科技成果的概念验证、中试验证、首试首用等环节开发专属保险产品。支持保险机构提升风险减量服务水平，为科技型企业提供综合性保险保障方案和风险控制方案。鼓励保险机构探索运用共保体、再保险等模式，分散重大技术攻关、中试阶段的各类风险。到2030年，全省科技保险投保规模显著提升。</w:t>
      </w:r>
      <w:r>
        <w:rPr>
          <w:rFonts w:ascii="Times New Roman" w:hAnsi="Times New Roman" w:eastAsia="楷体_GB2312"/>
          <w:color w:val="auto"/>
          <w:sz w:val="32"/>
          <w:szCs w:val="32"/>
        </w:rPr>
        <w:t>（江西金融监管局、省科技厅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按职责分工负责</w:t>
      </w:r>
      <w:r>
        <w:rPr>
          <w:rFonts w:ascii="Times New Roman" w:hAnsi="Times New Roman" w:eastAsia="楷体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1"/>
        <w:rPr>
          <w:rFonts w:ascii="Times New Roman" w:hAnsi="Times New Roman" w:eastAsia="楷体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z w:val="32"/>
          <w:szCs w:val="32"/>
        </w:rPr>
        <w:t>（五）健全研发投入工作机制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2"/>
        <w:rPr>
          <w:rFonts w:ascii="Times New Roman" w:hAnsi="Times New Roman" w:eastAsia="楷体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15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．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健全省市部门工作协同机制</w:t>
      </w:r>
      <w:r>
        <w:rPr>
          <w:rFonts w:ascii="Times New Roman" w:hAnsi="Times New Roman" w:eastAsia="仿宋_GB2312"/>
          <w:color w:val="auto"/>
          <w:sz w:val="32"/>
          <w:szCs w:val="32"/>
        </w:rPr>
        <w:t>。进一步健全省市相关部门研发投入工作协同机制，加强在促进研发投入政策、资源和行动上的协同。</w:t>
      </w:r>
      <w:r>
        <w:rPr>
          <w:rFonts w:ascii="Times New Roman" w:hAnsi="Times New Roman" w:eastAsia="楷体_GB2312"/>
          <w:color w:val="auto"/>
          <w:sz w:val="32"/>
          <w:szCs w:val="32"/>
        </w:rPr>
        <w:t>（省科技厅、省教育厅、省工业和信息化厅、省国资委、省税务局，各设区市人民政府、赣江新区管委会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按职责分工负责</w:t>
      </w:r>
      <w:r>
        <w:rPr>
          <w:rFonts w:ascii="Times New Roman" w:hAnsi="Times New Roman" w:eastAsia="楷体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2"/>
        <w:rPr>
          <w:rFonts w:ascii="Times New Roman" w:hAnsi="Times New Roman" w:eastAsia="楷体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16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．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建立常态化监测指导机制</w:t>
      </w:r>
      <w:r>
        <w:rPr>
          <w:rFonts w:ascii="Times New Roman" w:hAnsi="Times New Roman" w:eastAsia="仿宋_GB2312"/>
          <w:color w:val="auto"/>
          <w:sz w:val="32"/>
          <w:szCs w:val="32"/>
        </w:rPr>
        <w:t>。完善省市县三级联动工作体系，建立重点单位名录和动态数据监测工作机制，形成问题导向的分类指导机制。</w:t>
      </w:r>
      <w:r>
        <w:rPr>
          <w:rFonts w:ascii="Times New Roman" w:hAnsi="Times New Roman" w:eastAsia="楷体_GB2312"/>
          <w:color w:val="auto"/>
          <w:sz w:val="32"/>
          <w:szCs w:val="32"/>
        </w:rPr>
        <w:t>（省科技厅、省工业和信息化厅、省教育厅、省国资委、省统计局，各设区市人民政府、赣江新区管委会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按职责分工负责</w:t>
      </w:r>
      <w:r>
        <w:rPr>
          <w:rFonts w:ascii="Times New Roman" w:hAnsi="Times New Roman" w:eastAsia="楷体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2" w:firstLineChars="200"/>
        <w:textAlignment w:val="auto"/>
        <w:outlineLvl w:val="2"/>
        <w:rPr>
          <w:rFonts w:ascii="Times New Roman" w:hAnsi="Times New Roman" w:eastAsia="楷体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17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．</w:t>
      </w:r>
      <w:r>
        <w:rPr>
          <w:rFonts w:ascii="Times New Roman" w:hAnsi="Times New Roman" w:eastAsia="仿宋_GB2312"/>
          <w:b/>
          <w:bCs/>
          <w:color w:val="auto"/>
          <w:sz w:val="32"/>
          <w:szCs w:val="32"/>
        </w:rPr>
        <w:t>建立专项培训机制</w:t>
      </w:r>
      <w:r>
        <w:rPr>
          <w:rFonts w:ascii="Times New Roman" w:hAnsi="Times New Roman" w:eastAsia="仿宋_GB2312"/>
          <w:color w:val="auto"/>
          <w:sz w:val="32"/>
          <w:szCs w:val="32"/>
        </w:rPr>
        <w:t>。省市协同聚焦研发费用归集、统计业务等关键内容加强专项培训，针对问题做好调研指导，加强对企业、高校、科研院所科技统计人员的业务培训，提高研发投入统计数据质量。</w:t>
      </w:r>
      <w:r>
        <w:rPr>
          <w:rFonts w:ascii="Times New Roman" w:hAnsi="Times New Roman" w:eastAsia="楷体_GB2312"/>
          <w:color w:val="auto"/>
          <w:sz w:val="32"/>
          <w:szCs w:val="32"/>
        </w:rPr>
        <w:t>（省科技厅、省工业和信息化厅、省教育厅、省统计局、省税务局，各设区市人民政府、赣江新区管委会</w:t>
      </w:r>
      <w:r>
        <w:rPr>
          <w:rFonts w:hint="eastAsia" w:ascii="Times New Roman" w:hAnsi="Times New Roman" w:eastAsia="楷体_GB2312"/>
          <w:color w:val="auto"/>
          <w:sz w:val="32"/>
          <w:szCs w:val="32"/>
        </w:rPr>
        <w:t>按职责分工负责</w:t>
      </w:r>
      <w:r>
        <w:rPr>
          <w:rFonts w:ascii="Times New Roman" w:hAnsi="Times New Roman" w:eastAsia="楷体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firstLine="640" w:firstLineChars="200"/>
        <w:textAlignment w:val="auto"/>
        <w:outlineLvl w:val="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加强组织领导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、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统筹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和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协同联动，明确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各地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各部门职责分工，形成工作合力。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加强动态监测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评估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和调度协调，扎实推进各项政策措施的落实落地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加强政策宣传和解读，营造良好的研发创新环境。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7" w:bottom="1701" w:left="141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|...">
    <w:altName w:val="方正黑体_GBK"/>
    <w:panose1 w:val="00000000000000000000"/>
    <w:charset w:val="00"/>
    <w:family w:val="swiss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Style w:val="15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5"/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5"/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rPr>
        <w:rStyle w:val="15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5"/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5"/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YzI4MzU2ZjQ3ODQ5MDIyZDljN2QzMzY3MGM3NjIifQ=="/>
    <w:docVar w:name="KSO_WPS_MARK_KEY" w:val="b982355c-709e-43ae-ab0a-9e5bfda5861b"/>
  </w:docVars>
  <w:rsids>
    <w:rsidRoot w:val="4EC13A8A"/>
    <w:rsid w:val="0EC205A9"/>
    <w:rsid w:val="102E7E16"/>
    <w:rsid w:val="1D591792"/>
    <w:rsid w:val="2C701DD8"/>
    <w:rsid w:val="2FED1676"/>
    <w:rsid w:val="33AF0945"/>
    <w:rsid w:val="3A7E6B0E"/>
    <w:rsid w:val="3BBB852E"/>
    <w:rsid w:val="4B4B66E1"/>
    <w:rsid w:val="4CB42F2A"/>
    <w:rsid w:val="4EC13A8A"/>
    <w:rsid w:val="55B96DC3"/>
    <w:rsid w:val="55CE0A58"/>
    <w:rsid w:val="584F84C3"/>
    <w:rsid w:val="5D414995"/>
    <w:rsid w:val="61932226"/>
    <w:rsid w:val="64962DA5"/>
    <w:rsid w:val="75B95DE8"/>
    <w:rsid w:val="75D63587"/>
    <w:rsid w:val="7F5E91B4"/>
    <w:rsid w:val="9AEFFC4E"/>
    <w:rsid w:val="AB560818"/>
    <w:rsid w:val="B7CD3093"/>
    <w:rsid w:val="BFFFA7F1"/>
    <w:rsid w:val="EB9B5F5D"/>
    <w:rsid w:val="EDC7A1D2"/>
    <w:rsid w:val="EFBF478C"/>
    <w:rsid w:val="F7BA1984"/>
    <w:rsid w:val="FFE9AB74"/>
    <w:rsid w:val="FFFD2EDE"/>
    <w:rsid w:val="FFFF8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eastAsia" w:ascii="仿宋_GB2312" w:eastAsia="仿宋_GB2312" w:cs="Times New Roman"/>
      <w:b/>
      <w:kern w:val="44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before="0" w:beforeAutospacing="0"/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eastAsia="宋体" w:cs="Times New Roman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cs="Times New Roman"/>
      <w:sz w:val="18"/>
      <w:szCs w:val="2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eastAsia="宋体" w:cs="Times New Roman"/>
      <w:kern w:val="0"/>
      <w:sz w:val="24"/>
      <w:szCs w:val="24"/>
      <w:lang w:val="en-US" w:eastAsia="zh-CN" w:bidi="ar"/>
    </w:rPr>
  </w:style>
  <w:style w:type="paragraph" w:styleId="11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  <w:rPr>
      <w:rFonts w:ascii="Times New Roman" w:hAnsi="Times New Roman" w:eastAsia="宋体" w:cs="Times New Roman"/>
    </w:rPr>
  </w:style>
  <w:style w:type="paragraph" w:customStyle="1" w:styleId="16">
    <w:name w:val="正文首行缩进1"/>
    <w:basedOn w:val="3"/>
    <w:qFormat/>
    <w:uiPriority w:val="0"/>
    <w:pPr>
      <w:spacing w:after="0" w:line="500" w:lineRule="exact"/>
      <w:ind w:firstLine="420"/>
    </w:pPr>
    <w:rPr>
      <w:rFonts w:ascii="仿宋_GB2312"/>
      <w:sz w:val="28"/>
    </w:rPr>
  </w:style>
  <w:style w:type="paragraph" w:customStyle="1" w:styleId="17">
    <w:name w:val="p0"/>
    <w:basedOn w:val="1"/>
    <w:qFormat/>
    <w:uiPriority w:val="99"/>
    <w:pPr>
      <w:widowControl/>
    </w:pPr>
    <w:rPr>
      <w:rFonts w:ascii="宋体" w:hAnsi="宋体" w:eastAsia="宋体" w:cs="宋体"/>
      <w:color w:val="000000"/>
      <w:kern w:val="0"/>
      <w:sz w:val="28"/>
      <w:szCs w:val="28"/>
    </w:rPr>
  </w:style>
  <w:style w:type="character" w:customStyle="1" w:styleId="18">
    <w:name w:val="要点1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|..." w:hAnsi="Calibri" w:eastAsia="微软雅黑|..." w:cs="微软雅黑|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</Pages>
  <Words>12435</Words>
  <Characters>12937</Characters>
  <Lines>0</Lines>
  <Paragraphs>0</Paragraphs>
  <TotalTime>23</TotalTime>
  <ScaleCrop>false</ScaleCrop>
  <LinksUpToDate>false</LinksUpToDate>
  <CharactersWithSpaces>13019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2024-04-10T09:21:00Z</dcterms:created>
  <dc:creator>婷婷</dc:creator>
  <cp:lastModifiedBy>test</cp:lastModifiedBy>
  <dcterms:modified xsi:type="dcterms:W3CDTF">2026-05-15T11:16:48Z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2A85F3D85C73418CBCDEE5FA2B2178FE_11</vt:lpwstr>
  </property>
  <property fmtid="{D5CDD505-2E9C-101B-9397-08002B2CF9AE}" pid="4" name="KSOTemplateDocerSaveRecord">
    <vt:lpwstr>eyJoZGlkIjoiNzFlYzI4MzU2ZjQ3ODQ5MDIyZDljN2QzMzY3MGM3NjIiLCJ1c2VySWQiOiI0NzMyNzc0OTMifQ==</vt:lpwstr>
  </property>
</Properties>
</file>