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关于201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年转移支付资金情况的说明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widowControl/>
        <w:tabs>
          <w:tab w:val="left" w:pos="4973"/>
        </w:tabs>
        <w:ind w:left="91"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年我区上级转移支付资金共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  <w:lang w:val="en-US" w:eastAsia="zh-CN"/>
        </w:rPr>
        <w:t>122,430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万元，其中一般性转移支付收入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27,098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专项转移支付收入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95,332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万元。</w:t>
      </w:r>
    </w:p>
    <w:p>
      <w:pPr>
        <w:widowControl/>
        <w:tabs>
          <w:tab w:val="left" w:pos="4973"/>
        </w:tabs>
        <w:ind w:left="91" w:firstLine="640" w:firstLineChars="20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auto"/>
          <w:kern w:val="0"/>
          <w:sz w:val="32"/>
          <w:szCs w:val="32"/>
        </w:rPr>
        <w:t>一般性转移支付资金主要包含：</w:t>
      </w:r>
    </w:p>
    <w:p>
      <w:pPr>
        <w:widowControl/>
        <w:tabs>
          <w:tab w:val="left" w:pos="4973"/>
        </w:tabs>
        <w:ind w:left="91"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均衡性转移支付收入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5,764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万元，县级基本财力保障机制奖补资金收入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1,504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万元，结算补助收入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282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万元，基层公检法司转移支付收入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995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城乡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义务教育等转移支付收入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2,597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万元，基本养老保险和低保等转移支付收入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2,892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城乡居民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医疗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保险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5,667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万元，重点生态功能区转移支付收入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1,961万元，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固定数额补助收入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5,329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万元，其他一般性转移支付收入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万元。</w:t>
      </w:r>
    </w:p>
    <w:p>
      <w:pPr>
        <w:widowControl/>
        <w:tabs>
          <w:tab w:val="left" w:pos="4973"/>
        </w:tabs>
        <w:ind w:left="91" w:firstLine="640" w:firstLineChars="20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专项转移支付收入包括：一般公共服务收入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193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万元，公共安全4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万元，教育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3510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万元，科学技术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184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万元，文化体育与传媒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195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万元，社会保障和就业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3,488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万元，医疗卫生与计划生育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2,650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万元，节能环保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49万元，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城乡社区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2,998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万元，农林水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万元，交通运输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万元，资源勘探信息等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万元，商业服务业等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445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金融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50万元，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国土海洋气象等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万元，住房保障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4,406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万元，其他收入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75,285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0E11C6D"/>
    <w:rsid w:val="7C812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66</Words>
  <Characters>381</Characters>
  <Lines>3</Lines>
  <Paragraphs>1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2017-11-07T04:31:00Z</dcterms:created>
  <dc:creator>dd</dc:creator>
  <cp:lastModifiedBy>嘿嘿</cp:lastModifiedBy>
  <dcterms:modified xsi:type="dcterms:W3CDTF">2019-11-25T07:41:37Z</dcterms:modified>
  <dc:title>关于2017年转移支付资金情况的说明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