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7A" w:rsidRDefault="007C6612" w:rsidP="00C4737A">
      <w:pPr>
        <w:pStyle w:val="a3"/>
        <w:shd w:val="clear" w:color="auto" w:fill="FFFFFF"/>
        <w:spacing w:before="0" w:beforeAutospacing="0" w:after="0" w:afterAutospacing="0"/>
        <w:ind w:firstLine="480"/>
        <w:jc w:val="center"/>
        <w:rPr>
          <w:b/>
          <w:bCs/>
          <w:color w:val="333333"/>
          <w:sz w:val="36"/>
          <w:szCs w:val="36"/>
        </w:rPr>
      </w:pPr>
      <w:r>
        <w:rPr>
          <w:rFonts w:hint="eastAsia"/>
          <w:b/>
          <w:bCs/>
          <w:color w:val="333333"/>
          <w:sz w:val="36"/>
          <w:szCs w:val="36"/>
        </w:rPr>
        <w:t>国务院办公厅关于进一步激发文化和旅游消费</w:t>
      </w:r>
    </w:p>
    <w:p w:rsidR="007C6612" w:rsidRDefault="007C6612" w:rsidP="00C4737A">
      <w:pPr>
        <w:pStyle w:val="a3"/>
        <w:shd w:val="clear" w:color="auto" w:fill="FFFFFF"/>
        <w:spacing w:before="0" w:beforeAutospacing="0" w:after="0" w:afterAutospacing="0"/>
        <w:ind w:firstLine="480"/>
        <w:jc w:val="center"/>
        <w:rPr>
          <w:color w:val="333333"/>
        </w:rPr>
      </w:pPr>
      <w:r>
        <w:rPr>
          <w:rFonts w:hint="eastAsia"/>
          <w:b/>
          <w:bCs/>
          <w:color w:val="333333"/>
          <w:sz w:val="36"/>
          <w:szCs w:val="36"/>
        </w:rPr>
        <w:t>潜力的意见</w:t>
      </w:r>
    </w:p>
    <w:p w:rsidR="007C6612" w:rsidRDefault="007C6612" w:rsidP="007C6612">
      <w:pPr>
        <w:pStyle w:val="a3"/>
        <w:shd w:val="clear" w:color="auto" w:fill="FFFFFF"/>
        <w:spacing w:before="0" w:beforeAutospacing="0" w:after="0" w:afterAutospacing="0"/>
        <w:ind w:firstLine="480"/>
        <w:jc w:val="center"/>
        <w:rPr>
          <w:color w:val="333333"/>
        </w:rPr>
      </w:pPr>
      <w:r>
        <w:rPr>
          <w:rFonts w:ascii="楷体" w:eastAsia="楷体" w:hAnsi="楷体" w:hint="eastAsia"/>
          <w:color w:val="333333"/>
        </w:rPr>
        <w:t>国办发〔2019〕41号</w:t>
      </w:r>
    </w:p>
    <w:p w:rsidR="007C6612" w:rsidRDefault="007C6612" w:rsidP="007C6612">
      <w:pPr>
        <w:pStyle w:val="a3"/>
        <w:shd w:val="clear" w:color="auto" w:fill="FFFFFF"/>
        <w:spacing w:before="0" w:beforeAutospacing="0" w:after="0" w:afterAutospacing="0"/>
        <w:jc w:val="both"/>
        <w:rPr>
          <w:color w:val="333333"/>
        </w:rPr>
      </w:pPr>
    </w:p>
    <w:p w:rsidR="007C6612" w:rsidRPr="00C4737A" w:rsidRDefault="007C6612" w:rsidP="007C6612">
      <w:pPr>
        <w:pStyle w:val="a3"/>
        <w:shd w:val="clear" w:color="auto" w:fill="FFFFFF"/>
        <w:spacing w:before="0" w:beforeAutospacing="0" w:after="0" w:afterAutospacing="0"/>
        <w:jc w:val="both"/>
        <w:rPr>
          <w:color w:val="333333"/>
          <w:sz w:val="28"/>
          <w:szCs w:val="28"/>
        </w:rPr>
      </w:pPr>
      <w:r w:rsidRPr="00C4737A">
        <w:rPr>
          <w:rFonts w:hint="eastAsia"/>
          <w:color w:val="333333"/>
          <w:sz w:val="28"/>
          <w:szCs w:val="28"/>
        </w:rPr>
        <w:t>各省、自治区、直辖市人民政府，国务院各部委、各直属机构：</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hint="eastAsia"/>
          <w:color w:val="333333"/>
          <w:sz w:val="28"/>
          <w:szCs w:val="28"/>
        </w:rPr>
        <w:t>为贯彻落实《中共中央 国务院关于完善促进消费体制机制进一步激发居民消费潜力的若干意见》，提升文化和旅游消费质量水平，增强居民消费意愿，以高质量文化和旅游供给增强人民群众的获得感、幸福感，经国务院同意，现提出以下意见：</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hint="eastAsia"/>
          <w:b/>
          <w:bCs/>
          <w:color w:val="333333"/>
          <w:sz w:val="28"/>
          <w:szCs w:val="28"/>
        </w:rPr>
        <w:t>一、总体目标</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hint="eastAsia"/>
          <w:color w:val="333333"/>
          <w:sz w:val="28"/>
          <w:szCs w:val="28"/>
        </w:rPr>
        <w:t>以习近平新时代中国特色社会主义思想为指导，顺应文化和旅游消费提质转型升级新趋势，深化文化和旅游领域供给侧结构性改革，从供需两端发力，不断激发文化和旅游消费潜力。努力使我国文化和旅游消费设施更加完善，消费结构更加合理，消费环境更加优化，文化和旅游产品、服务供给更加丰富。推动全国居民文化和旅游消费规模保持快速增长态势，对经济增长的带动作用持续增强。</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hint="eastAsia"/>
          <w:b/>
          <w:bCs/>
          <w:color w:val="333333"/>
          <w:sz w:val="28"/>
          <w:szCs w:val="28"/>
        </w:rPr>
        <w:t>二、主要任务</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（一）推出消费惠民措施。</w:t>
      </w:r>
      <w:r w:rsidRPr="00C4737A">
        <w:rPr>
          <w:rFonts w:hint="eastAsia"/>
          <w:color w:val="333333"/>
          <w:sz w:val="28"/>
          <w:szCs w:val="28"/>
        </w:rPr>
        <w:t>继续推动国有景区门票降价。各地可结合实际情况，制定实施景区门票减免、景区淡季免费开放、演出门票打折等政策，举办文化和旅游消费季、消费月，举办数字文旅消费体验等活动。在依法合规的前提下鼓励发行文化和旅游消费联名银行卡并给予特惠商户折扣、消费分期等用户权益。拓展文化和旅游消费信贷业务，以规范发展为前提创新消费信贷抵质押模式，开发不同首</w:t>
      </w:r>
      <w:r w:rsidRPr="00C4737A">
        <w:rPr>
          <w:rFonts w:hint="eastAsia"/>
          <w:color w:val="333333"/>
          <w:sz w:val="28"/>
          <w:szCs w:val="28"/>
        </w:rPr>
        <w:lastRenderedPageBreak/>
        <w:t>付比例、期限和还款方式的信贷产品。</w:t>
      </w:r>
      <w:r w:rsidRPr="00C4737A">
        <w:rPr>
          <w:rFonts w:ascii="楷体" w:eastAsia="楷体" w:hAnsi="楷体" w:hint="eastAsia"/>
          <w:color w:val="333333"/>
          <w:sz w:val="28"/>
          <w:szCs w:val="28"/>
        </w:rPr>
        <w:t>（文化和旅游部、发展改革委、财政部、人民银行、银保监会和地方各级人民政府负责。以下均需地方各级人民政府负责，不再列出）</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（二）提高消费便捷程度。</w:t>
      </w:r>
      <w:r w:rsidRPr="00C4737A">
        <w:rPr>
          <w:rFonts w:hint="eastAsia"/>
          <w:color w:val="333333"/>
          <w:sz w:val="28"/>
          <w:szCs w:val="28"/>
        </w:rPr>
        <w:t>推动实施移动支付便民示范工程，提高文化和旅游消费场所银行卡使用便捷度，推广移动互联网新兴支付方式。鼓励把文化消费嵌入各类消费场所，依托社区生活综合服务中心、城乡便民消费服务中心等打造群众身边的文化消费网点。鼓励依法依规对传统演出场所和博物馆进行设施改造提升，合理配套餐饮区、观众休息区、文创产品展示售卖区、书店等，营造更优质的消费环境。引导演出、文化娱乐、景区景点等场所广泛应用互联网售票、二维码验票。提升文化和旅游消费场所宽带移动通信网络覆盖水平，在具备条件且用户需求较强的地方，优先部署第五代移动通信（5G）网络。优化旅游交通服务，科学规划线路、站点设置，提供智能化出行信息服务。到2022年，实现全国文化和旅游消费场所除现金支付外，都能支持银行卡或移动支付，互联网售票和4G/5G网络覆盖率超过90%，文化和旅游消费便捷程度明显提高。</w:t>
      </w:r>
      <w:r w:rsidRPr="00C4737A">
        <w:rPr>
          <w:rFonts w:ascii="楷体" w:eastAsia="楷体" w:hAnsi="楷体" w:hint="eastAsia"/>
          <w:color w:val="333333"/>
          <w:sz w:val="28"/>
          <w:szCs w:val="28"/>
        </w:rPr>
        <w:t>（文化和旅游部、工业和信息化部、交通运输部、商务部、人民银行、文物局负责）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（三）提升入境旅游环境。</w:t>
      </w:r>
      <w:r w:rsidRPr="00C4737A">
        <w:rPr>
          <w:rFonts w:hint="eastAsia"/>
          <w:color w:val="333333"/>
          <w:sz w:val="28"/>
          <w:szCs w:val="28"/>
        </w:rPr>
        <w:t>整合已有资源，提升入境旅游统一宣介平台（含APP、小程序等移动端）水平。鼓励各地开发一批适应外国游客需求的旅游线路、目的地、旅游演艺及特色商品并在宣介平台上推荐。提升景区景点、餐饮住宿、购物娱乐、机场车站等场所多语种服务水平。鼓励银行业金融机构依法依规在文化和旅游消费集中区</w:t>
      </w:r>
      <w:r w:rsidRPr="00C4737A">
        <w:rPr>
          <w:rFonts w:hint="eastAsia"/>
          <w:color w:val="333333"/>
          <w:sz w:val="28"/>
          <w:szCs w:val="28"/>
        </w:rPr>
        <w:lastRenderedPageBreak/>
        <w:t>域设立分支机构。完善入境游客移动支付解决方案，提高游客消费便利性。研究出台以北京2022年冬奥会、冬残奥会为契机促进入境旅游的政策措施。确保入境旅游环境得到明显改善，入境消费规模保持持续扩大态势。</w:t>
      </w:r>
      <w:r w:rsidRPr="00C4737A">
        <w:rPr>
          <w:rFonts w:ascii="楷体" w:eastAsia="楷体" w:hAnsi="楷体" w:hint="eastAsia"/>
          <w:color w:val="333333"/>
          <w:sz w:val="28"/>
          <w:szCs w:val="28"/>
        </w:rPr>
        <w:t>（文化和旅游部、人民银行、银保监会、北京冬奥组委负责）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（四）推进消费试点示范。</w:t>
      </w:r>
      <w:r w:rsidRPr="00C4737A">
        <w:rPr>
          <w:rFonts w:hint="eastAsia"/>
          <w:color w:val="333333"/>
          <w:sz w:val="28"/>
          <w:szCs w:val="28"/>
        </w:rPr>
        <w:t>总结推广引导城乡居民扩大文化消费试点工作的经验模式，新确定一批国家文化和旅游消费试点城市（以下简称试点城市）。在试点城市基础上，择优确定国家文化和旅游消费示范城市（以下简称示范城市）并动态考核。推动试点城市、示范城市建设国际消费中心城市。鼓励建设集合文创商店、特色书店、小剧场、文化娱乐场所等多种业态的消费集聚地。到2022年，建设30个示范城市、100个试点城市，示范城市居民人均文化娱乐支出占消费支出比例超过6%，旅游收入增速保持两位数以上增长，进一步发挥示范引领作用。</w:t>
      </w:r>
      <w:r w:rsidRPr="00C4737A">
        <w:rPr>
          <w:rFonts w:ascii="楷体" w:eastAsia="楷体" w:hAnsi="楷体" w:hint="eastAsia"/>
          <w:color w:val="333333"/>
          <w:sz w:val="28"/>
          <w:szCs w:val="28"/>
        </w:rPr>
        <w:t>（文化和旅游部、发展改革委、财政部负责）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（五）着力丰富产品供给。</w:t>
      </w:r>
      <w:r w:rsidRPr="00C4737A">
        <w:rPr>
          <w:rFonts w:hint="eastAsia"/>
          <w:color w:val="333333"/>
          <w:sz w:val="28"/>
          <w:szCs w:val="28"/>
        </w:rPr>
        <w:t>鼓励打造中小型、主题性、特色类的文化旅游演艺产品。促进演艺、娱乐、动漫、创意设计、网络文化、工艺美术等行业创新发展，引导文化和旅游场所增加参与式、体验式消费项目，鼓励发展与自驾游、休闲度假相适应的租赁式公寓、汽车租赁等服务。积极拓展文化消费广度和深度，注重利用新技术发掘中华文化宝贵资源，为广大人民群众提供更加丰富多样的广播电视消费产品。规范旅游民宿市场，推动星级旅游民宿品牌化发展。提升国家级文化产业示范园区和国家文化产业示范基地的供给能力。鼓励文创</w:t>
      </w:r>
      <w:r w:rsidRPr="00C4737A">
        <w:rPr>
          <w:rFonts w:hint="eastAsia"/>
          <w:color w:val="333333"/>
          <w:sz w:val="28"/>
          <w:szCs w:val="28"/>
        </w:rPr>
        <w:lastRenderedPageBreak/>
        <w:t>产品开发与经营，拓宽文创产品展示和销售渠道。积极发展休闲农业，大力发展乡村旅游，实施休闲农业和乡村旅游精品工程，培育一批美丽休闲乡村，推出一批休闲农业示范县和乡村旅游重点村。推进国家全域旅游示范区建设，着力开发商务会展旅游、海洋海岛旅游、自驾车旅居车旅游、体育旅游、森林旅游、康养旅游等产品。支持红色旅游创新、融合发展。打造一批具有文旅特色的高品位休闲街区和度假产品。到2022年，培育30个以上旅游演艺精品项目，扩大文化和旅游有效供给。</w:t>
      </w:r>
      <w:r w:rsidRPr="00C4737A">
        <w:rPr>
          <w:rFonts w:ascii="楷体" w:eastAsia="楷体" w:hAnsi="楷体" w:hint="eastAsia"/>
          <w:color w:val="333333"/>
          <w:sz w:val="28"/>
          <w:szCs w:val="28"/>
        </w:rPr>
        <w:t>（文化和旅游部、发展改革委、农业农村部、广电总局、林草局负责）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（六）推动旅游景区提质扩容。</w:t>
      </w:r>
      <w:r w:rsidRPr="00C4737A">
        <w:rPr>
          <w:rFonts w:hint="eastAsia"/>
          <w:color w:val="333333"/>
          <w:sz w:val="28"/>
          <w:szCs w:val="28"/>
        </w:rPr>
        <w:t>支持各地加大对旅游景区的公共服务设施资金投入，保障景区游览安全，推动景区设施设备更新换代、产品创新和项目升级，加大对管理服务人员的培训力度。打造一批高品质旅游景区、重点线路和特色旅游目的地，为人民群众提供更多出游选择。合理调整景区布局，优化游览线路和方式，扩展游览空间。推进“互联网+旅游”，强化智慧景区建设，实现实时监测、科学引导、智慧服务。推广景区门票预约制度，合理确定并严格执行最高日接待游客人数规模。到2022年，5A级国有景区全面实行门票预约制度。</w:t>
      </w:r>
      <w:r w:rsidRPr="00C4737A">
        <w:rPr>
          <w:rFonts w:ascii="楷体" w:eastAsia="楷体" w:hAnsi="楷体" w:hint="eastAsia"/>
          <w:color w:val="333333"/>
          <w:sz w:val="28"/>
          <w:szCs w:val="28"/>
        </w:rPr>
        <w:t>（文化和旅游部、发展改革委负责）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（七）发展假日和夜间经济。</w:t>
      </w:r>
      <w:r w:rsidRPr="00C4737A">
        <w:rPr>
          <w:rFonts w:hint="eastAsia"/>
          <w:color w:val="333333"/>
          <w:sz w:val="28"/>
          <w:szCs w:val="28"/>
        </w:rPr>
        <w:t>落实带薪休假制度，鼓励单位与职工结合工作安排和个人需要分段灵活安排带薪年休假、错峰休假。把握节假日及高峰期旅游消费集中的规律特征，优化景区与周边高速公路的衔接，督促各地在节假日期间加强高速公路和景区道路交通管理、</w:t>
      </w:r>
      <w:r w:rsidRPr="00C4737A">
        <w:rPr>
          <w:rFonts w:hint="eastAsia"/>
          <w:color w:val="333333"/>
          <w:sz w:val="28"/>
          <w:szCs w:val="28"/>
        </w:rPr>
        <w:lastRenderedPageBreak/>
        <w:t>增加公共交通运力、及时发布景区拥堵预警信息。大力发展夜间文旅经济。鼓励有条件的旅游景区在保证安全、避免扰民的情况下开展夜间游览服务。丰富夜间文化演出市场，优化文化和旅游场所的夜间餐饮、购物、演艺等服务，鼓励建设24小时书店。到2022年，建设200个以上国家级夜间文旅消费集聚区，夜间文旅消费规模持续扩大。</w:t>
      </w:r>
      <w:r w:rsidRPr="00C4737A">
        <w:rPr>
          <w:rFonts w:ascii="楷体" w:eastAsia="楷体" w:hAnsi="楷体" w:hint="eastAsia"/>
          <w:color w:val="333333"/>
          <w:sz w:val="28"/>
          <w:szCs w:val="28"/>
        </w:rPr>
        <w:t>（文化和旅游部、发展改革委、公安部、交通运输部、商务部负责）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（八）促进产业融合发展。</w:t>
      </w:r>
      <w:r w:rsidRPr="00C4737A">
        <w:rPr>
          <w:rFonts w:hint="eastAsia"/>
          <w:color w:val="333333"/>
          <w:sz w:val="28"/>
          <w:szCs w:val="28"/>
        </w:rPr>
        <w:t>支持邮轮游艇旅游、非物质文化遗产主题旅游等业态发展。促进文化、旅游与现代技术相互融合，发展基于5G、超高清、增强现实、虚拟现实、人工智能等技术的新一代沉浸式体验型文化和旅游消费内容。丰富网络音乐、网络动漫、网络表演、数字艺术展示等数字内容及可穿戴设备、智能家居等产品，提升文化、旅游产品开发和服务设计的数字化水平。发挥展会拉动文化和旅游消费的作用，支持文化企业和旅游企业通过展会进行产品展示、信息推广。引导文化企业和旅游企业创新商业模式和营销方式。到2022年，建设30个国家文化产业和旅游产业融合发展示范区，产业融合水平进一步提升，新型文化和旅游消费业态不断丰富。</w:t>
      </w:r>
      <w:r w:rsidRPr="00C4737A">
        <w:rPr>
          <w:rFonts w:ascii="楷体" w:eastAsia="楷体" w:hAnsi="楷体" w:hint="eastAsia"/>
          <w:color w:val="333333"/>
          <w:sz w:val="28"/>
          <w:szCs w:val="28"/>
        </w:rPr>
        <w:t>（文化和旅游部、发展改革委、交通运输部、商务部、广电总局负责）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（九）严格市场监管执法。</w:t>
      </w:r>
      <w:r w:rsidRPr="00C4737A">
        <w:rPr>
          <w:rFonts w:hint="eastAsia"/>
          <w:color w:val="333333"/>
          <w:sz w:val="28"/>
          <w:szCs w:val="28"/>
        </w:rPr>
        <w:t>加大文化和旅游市场监管力度，严厉打击违法违规经营行为，加强对文化和旅游市场的安全管理，强化对文化娱乐和旅游设施的质量安全监管。进一步完善市场主体和从业人员信用记录并逐步纳入全国信用信息共享平台和国家企业信用信息公示系统，对列入文化市场黑名单和旅游市场黑名单的市场主体和从</w:t>
      </w:r>
      <w:r w:rsidRPr="00C4737A">
        <w:rPr>
          <w:rFonts w:hint="eastAsia"/>
          <w:color w:val="333333"/>
          <w:sz w:val="28"/>
          <w:szCs w:val="28"/>
        </w:rPr>
        <w:lastRenderedPageBreak/>
        <w:t>业人员实施联合惩戒。到2022年，文化和旅游市场秩序得到进一步规范，产品和服务质量进一步提高，消费者权益得到更好保护。</w:t>
      </w:r>
      <w:r w:rsidRPr="00C4737A">
        <w:rPr>
          <w:rFonts w:ascii="楷体" w:eastAsia="楷体" w:hAnsi="楷体" w:hint="eastAsia"/>
          <w:color w:val="333333"/>
          <w:sz w:val="28"/>
          <w:szCs w:val="28"/>
        </w:rPr>
        <w:t>（文化和旅游部、应急部、市场监管总局负责）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hint="eastAsia"/>
          <w:b/>
          <w:bCs/>
          <w:color w:val="333333"/>
          <w:sz w:val="28"/>
          <w:szCs w:val="28"/>
        </w:rPr>
        <w:t>三、保障措施</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（十）强化政策保障。</w:t>
      </w:r>
      <w:r w:rsidRPr="00C4737A">
        <w:rPr>
          <w:rFonts w:hint="eastAsia"/>
          <w:color w:val="333333"/>
          <w:sz w:val="28"/>
          <w:szCs w:val="28"/>
        </w:rPr>
        <w:t>用好各类资金支持各地文化和旅游基础设施建设，并重点对试点城市、示范城市予以支持。充分发挥财政资金引导作用，鼓励地方开展文化和旅游消费试点示范，增加优质消费供给。支持有条件的地区发展支线航空、通用航空服务。鼓励各地利用老旧厂房开设文化和旅游消费场所，落实土地支持政策，完善用水用电用气等方面的优惠政策。探索开展旅游景区经营权、门票收入权质押以及旅游企业建设用地使用权抵押、林权抵押等贷款业务。促进交通一卡通互联互通。引导保险业金融机构根据文化和旅游行业特点开发种类丰富的保险产品。</w:t>
      </w:r>
      <w:r w:rsidRPr="00C4737A">
        <w:rPr>
          <w:rFonts w:ascii="楷体" w:eastAsia="楷体" w:hAnsi="楷体" w:hint="eastAsia"/>
          <w:color w:val="333333"/>
          <w:sz w:val="28"/>
          <w:szCs w:val="28"/>
        </w:rPr>
        <w:t>（文化和旅游部、发展改革委、财政部、自然资源部、住房城乡建设部、交通运输部、银保监会、民航局负责）</w:t>
      </w:r>
    </w:p>
    <w:p w:rsidR="007C6612" w:rsidRPr="00C4737A" w:rsidRDefault="007C6612" w:rsidP="007C6612">
      <w:pPr>
        <w:pStyle w:val="a3"/>
        <w:shd w:val="clear" w:color="auto" w:fill="FFFFFF"/>
        <w:spacing w:before="0" w:beforeAutospacing="0" w:after="0" w:afterAutospacing="0"/>
        <w:ind w:firstLine="480"/>
        <w:jc w:val="both"/>
        <w:rPr>
          <w:color w:val="333333"/>
          <w:sz w:val="28"/>
          <w:szCs w:val="28"/>
        </w:rPr>
      </w:pPr>
      <w:r w:rsidRPr="00C4737A">
        <w:rPr>
          <w:rFonts w:ascii="楷体" w:eastAsia="楷体" w:hAnsi="楷体" w:hint="eastAsia"/>
          <w:color w:val="333333"/>
          <w:sz w:val="28"/>
          <w:szCs w:val="28"/>
        </w:rPr>
        <w:t>（十一）加强组织领导。</w:t>
      </w:r>
      <w:r w:rsidRPr="00C4737A">
        <w:rPr>
          <w:rFonts w:hint="eastAsia"/>
          <w:color w:val="333333"/>
          <w:sz w:val="28"/>
          <w:szCs w:val="28"/>
        </w:rPr>
        <w:t>发挥完善促进消费体制机制部际联席会议作用，加强对促进文化和旅游消费工作的统筹协调和督促落实。文化和旅游部负责对本意见落实情况进行跟踪分析评估，指导各地建立文化和旅游消费数据监测体系，加强大数据技术应用，整合共享数据资源，加强趋势分析研判，为促进文化和旅游消费提供决策依据。各地要根据本意见的要求，将促进文化和旅游消费作为重要工作任务，结合本地区实际，开展文化和旅游消费数据监测分析，不断完善促进文化和旅游消费政策。</w:t>
      </w:r>
      <w:r w:rsidRPr="00C4737A">
        <w:rPr>
          <w:rFonts w:ascii="楷体" w:eastAsia="楷体" w:hAnsi="楷体" w:hint="eastAsia"/>
          <w:color w:val="333333"/>
          <w:sz w:val="28"/>
          <w:szCs w:val="28"/>
        </w:rPr>
        <w:t>（文化和旅游部负责）</w:t>
      </w:r>
    </w:p>
    <w:p w:rsidR="007C6612" w:rsidRPr="00C4737A" w:rsidRDefault="007C6612" w:rsidP="007C6612">
      <w:pPr>
        <w:pStyle w:val="a3"/>
        <w:shd w:val="clear" w:color="auto" w:fill="FFFFFF"/>
        <w:spacing w:before="0" w:beforeAutospacing="0" w:after="0" w:afterAutospacing="0"/>
        <w:ind w:firstLine="480"/>
        <w:jc w:val="right"/>
        <w:rPr>
          <w:color w:val="333333"/>
          <w:sz w:val="28"/>
          <w:szCs w:val="28"/>
        </w:rPr>
      </w:pPr>
      <w:r w:rsidRPr="00C4737A">
        <w:rPr>
          <w:rFonts w:hint="eastAsia"/>
          <w:color w:val="333333"/>
          <w:sz w:val="28"/>
          <w:szCs w:val="28"/>
        </w:rPr>
        <w:lastRenderedPageBreak/>
        <w:t>国务院办公厅          </w:t>
      </w:r>
    </w:p>
    <w:p w:rsidR="007C6612" w:rsidRPr="00C4737A" w:rsidRDefault="007C6612" w:rsidP="007C6612">
      <w:pPr>
        <w:pStyle w:val="a3"/>
        <w:shd w:val="clear" w:color="auto" w:fill="FFFFFF"/>
        <w:spacing w:before="0" w:beforeAutospacing="0" w:after="0" w:afterAutospacing="0"/>
        <w:ind w:firstLine="480"/>
        <w:jc w:val="right"/>
        <w:rPr>
          <w:color w:val="333333"/>
          <w:sz w:val="28"/>
          <w:szCs w:val="28"/>
        </w:rPr>
      </w:pPr>
      <w:r w:rsidRPr="00C4737A">
        <w:rPr>
          <w:rFonts w:hint="eastAsia"/>
          <w:color w:val="333333"/>
          <w:sz w:val="28"/>
          <w:szCs w:val="28"/>
        </w:rPr>
        <w:t>2019年8月12日   </w:t>
      </w:r>
    </w:p>
    <w:p w:rsidR="00FF2EEB" w:rsidRPr="00C4737A" w:rsidRDefault="00FF2EEB">
      <w:pPr>
        <w:rPr>
          <w:sz w:val="28"/>
          <w:szCs w:val="28"/>
        </w:rPr>
      </w:pPr>
    </w:p>
    <w:sectPr w:rsidR="00FF2EEB" w:rsidRPr="00C4737A"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11B" w:rsidRDefault="0077011B" w:rsidP="00C4737A">
      <w:r>
        <w:separator/>
      </w:r>
    </w:p>
  </w:endnote>
  <w:endnote w:type="continuationSeparator" w:id="1">
    <w:p w:rsidR="0077011B" w:rsidRDefault="0077011B" w:rsidP="00C47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11B" w:rsidRDefault="0077011B" w:rsidP="00C4737A">
      <w:r>
        <w:separator/>
      </w:r>
    </w:p>
  </w:footnote>
  <w:footnote w:type="continuationSeparator" w:id="1">
    <w:p w:rsidR="0077011B" w:rsidRDefault="0077011B" w:rsidP="00C473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6612"/>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472DD"/>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227"/>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3F3"/>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11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612"/>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37A"/>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0F79"/>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61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47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737A"/>
    <w:rPr>
      <w:sz w:val="18"/>
      <w:szCs w:val="18"/>
    </w:rPr>
  </w:style>
  <w:style w:type="paragraph" w:styleId="a5">
    <w:name w:val="footer"/>
    <w:basedOn w:val="a"/>
    <w:link w:val="Char0"/>
    <w:uiPriority w:val="99"/>
    <w:semiHidden/>
    <w:unhideWhenUsed/>
    <w:rsid w:val="00C4737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4737A"/>
    <w:rPr>
      <w:sz w:val="18"/>
      <w:szCs w:val="18"/>
    </w:rPr>
  </w:style>
  <w:style w:type="paragraph" w:styleId="a6">
    <w:name w:val="Balloon Text"/>
    <w:basedOn w:val="a"/>
    <w:link w:val="Char1"/>
    <w:uiPriority w:val="99"/>
    <w:semiHidden/>
    <w:unhideWhenUsed/>
    <w:rsid w:val="000472DD"/>
    <w:rPr>
      <w:sz w:val="18"/>
      <w:szCs w:val="18"/>
    </w:rPr>
  </w:style>
  <w:style w:type="character" w:customStyle="1" w:styleId="Char1">
    <w:name w:val="批注框文本 Char"/>
    <w:basedOn w:val="a0"/>
    <w:link w:val="a6"/>
    <w:uiPriority w:val="99"/>
    <w:semiHidden/>
    <w:rsid w:val="000472DD"/>
    <w:rPr>
      <w:sz w:val="18"/>
      <w:szCs w:val="18"/>
    </w:rPr>
  </w:style>
</w:styles>
</file>

<file path=word/webSettings.xml><?xml version="1.0" encoding="utf-8"?>
<w:webSettings xmlns:r="http://schemas.openxmlformats.org/officeDocument/2006/relationships" xmlns:w="http://schemas.openxmlformats.org/wordprocessingml/2006/main">
  <w:divs>
    <w:div w:id="4651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3200</Characters>
  <Application>Microsoft Office Word</Application>
  <DocSecurity>0</DocSecurity>
  <Lines>26</Lines>
  <Paragraphs>7</Paragraphs>
  <ScaleCrop>false</ScaleCrop>
  <Company>微软中国</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2020-09-23T06:50:00Z</cp:lastPrinted>
  <dcterms:created xsi:type="dcterms:W3CDTF">2020-09-21T07:06:00Z</dcterms:created>
  <dcterms:modified xsi:type="dcterms:W3CDTF">2020-09-23T06:50:00Z</dcterms:modified>
</cp:coreProperties>
</file>