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0"/>
          <w:szCs w:val="30"/>
          <w:lang w:val="en-US" w:eastAsia="zh-CN"/>
        </w:rPr>
      </w:pPr>
      <w:r>
        <w:rPr>
          <w:rFonts w:hint="eastAsia"/>
          <w:sz w:val="30"/>
          <w:szCs w:val="30"/>
          <w:lang w:val="en-US" w:eastAsia="zh-CN"/>
        </w:rPr>
        <w:t>附件</w:t>
      </w:r>
    </w:p>
    <w:p>
      <w:pPr>
        <w:jc w:val="center"/>
        <w:rPr>
          <w:rFonts w:hint="eastAsia"/>
          <w:lang w:val="en-US" w:eastAsia="zh-CN"/>
        </w:rPr>
      </w:pPr>
      <w:r>
        <w:rPr>
          <w:rFonts w:hint="eastAsia" w:ascii="方正小标宋简体" w:hAnsi="方正小标宋简体" w:eastAsia="方正小标宋简体" w:cs="方正小标宋简体"/>
          <w:sz w:val="32"/>
          <w:szCs w:val="32"/>
        </w:rPr>
        <w:t>2023 年</w:t>
      </w:r>
      <w:r>
        <w:rPr>
          <w:rFonts w:hint="eastAsia" w:ascii="方正小标宋简体" w:hAnsi="方正小标宋简体" w:eastAsia="方正小标宋简体" w:cs="方正小标宋简体"/>
          <w:sz w:val="32"/>
          <w:szCs w:val="32"/>
          <w:lang w:val="en-US" w:eastAsia="zh-CN"/>
        </w:rPr>
        <w:t>浔阳区</w:t>
      </w:r>
      <w:r>
        <w:rPr>
          <w:rFonts w:hint="eastAsia" w:ascii="方正小标宋简体" w:hAnsi="方正小标宋简体" w:eastAsia="方正小标宋简体" w:cs="方正小标宋简体"/>
          <w:sz w:val="32"/>
          <w:szCs w:val="32"/>
        </w:rPr>
        <w:t>政务公开工作要点</w:t>
      </w:r>
      <w:r>
        <w:rPr>
          <w:rFonts w:hint="eastAsia" w:ascii="方正小标宋简体" w:hAnsi="方正小标宋简体" w:eastAsia="方正小标宋简体" w:cs="方正小标宋简体"/>
          <w:sz w:val="32"/>
          <w:szCs w:val="32"/>
          <w:lang w:val="en-US" w:eastAsia="zh-CN"/>
        </w:rPr>
        <w:t>工作责任分解表</w:t>
      </w:r>
    </w:p>
    <w:tbl>
      <w:tblPr>
        <w:tblStyle w:val="3"/>
        <w:tblpPr w:leftFromText="180" w:rightFromText="180" w:vertAnchor="text" w:horzAnchor="page" w:tblpX="2236" w:tblpY="624"/>
        <w:tblOverlap w:val="never"/>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1"/>
        <w:gridCol w:w="1458"/>
        <w:gridCol w:w="1815"/>
        <w:gridCol w:w="6938"/>
        <w:gridCol w:w="1302"/>
        <w:gridCol w:w="1727"/>
        <w:gridCol w:w="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9" w:hRule="atLeast"/>
        </w:trPr>
        <w:tc>
          <w:tcPr>
            <w:tcW w:w="431" w:type="dxa"/>
            <w:noWrap w:val="0"/>
            <w:vAlign w:val="center"/>
          </w:tcPr>
          <w:p>
            <w:pPr>
              <w:pStyle w:val="2"/>
              <w:ind w:left="0" w:leftChars="0"/>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458" w:type="dxa"/>
            <w:noWrap w:val="0"/>
            <w:vAlign w:val="center"/>
          </w:tcPr>
          <w:p>
            <w:pPr>
              <w:pStyle w:val="2"/>
              <w:ind w:left="0" w:leftChars="0"/>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一级指标</w:t>
            </w:r>
          </w:p>
        </w:tc>
        <w:tc>
          <w:tcPr>
            <w:tcW w:w="1815" w:type="dxa"/>
            <w:noWrap w:val="0"/>
            <w:vAlign w:val="center"/>
          </w:tcPr>
          <w:p>
            <w:pPr>
              <w:pStyle w:val="2"/>
              <w:ind w:left="0" w:leftChars="0"/>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二级指标</w:t>
            </w:r>
          </w:p>
        </w:tc>
        <w:tc>
          <w:tcPr>
            <w:tcW w:w="6938" w:type="dxa"/>
            <w:noWrap w:val="0"/>
            <w:vAlign w:val="center"/>
          </w:tcPr>
          <w:p>
            <w:pPr>
              <w:pStyle w:val="2"/>
              <w:ind w:left="0" w:leftChars="0"/>
              <w:jc w:val="center"/>
              <w:rPr>
                <w:rFonts w:hint="eastAsia" w:ascii="宋体" w:hAnsi="宋体" w:eastAsia="宋体" w:cs="宋体"/>
                <w:b/>
                <w:bCs/>
                <w:sz w:val="18"/>
                <w:szCs w:val="18"/>
              </w:rPr>
            </w:pPr>
            <w:r>
              <w:rPr>
                <w:rFonts w:hint="eastAsia" w:ascii="宋体" w:hAnsi="宋体" w:eastAsia="宋体" w:cs="宋体"/>
                <w:b/>
                <w:bCs/>
                <w:sz w:val="18"/>
                <w:szCs w:val="18"/>
              </w:rPr>
              <w:t>工作任务</w:t>
            </w:r>
          </w:p>
        </w:tc>
        <w:tc>
          <w:tcPr>
            <w:tcW w:w="1302" w:type="dxa"/>
            <w:noWrap w:val="0"/>
            <w:vAlign w:val="center"/>
          </w:tcPr>
          <w:p>
            <w:pPr>
              <w:pStyle w:val="2"/>
              <w:ind w:left="0" w:leftChars="0"/>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牵头单位</w:t>
            </w:r>
          </w:p>
        </w:tc>
        <w:tc>
          <w:tcPr>
            <w:tcW w:w="1727" w:type="dxa"/>
            <w:noWrap w:val="0"/>
            <w:vAlign w:val="center"/>
          </w:tcPr>
          <w:p>
            <w:pPr>
              <w:pStyle w:val="2"/>
              <w:ind w:left="0" w:leftChars="0"/>
              <w:jc w:val="center"/>
              <w:rPr>
                <w:rFonts w:hint="eastAsia" w:ascii="宋体" w:hAnsi="宋体" w:eastAsia="宋体" w:cs="宋体"/>
                <w:b/>
                <w:bCs/>
                <w:sz w:val="18"/>
                <w:szCs w:val="18"/>
              </w:rPr>
            </w:pPr>
            <w:r>
              <w:rPr>
                <w:rFonts w:hint="eastAsia" w:ascii="宋体" w:hAnsi="宋体" w:eastAsia="宋体" w:cs="宋体"/>
                <w:b/>
                <w:bCs/>
                <w:sz w:val="18"/>
                <w:szCs w:val="18"/>
              </w:rPr>
              <w:t>责任单位</w:t>
            </w:r>
          </w:p>
        </w:tc>
        <w:tc>
          <w:tcPr>
            <w:tcW w:w="503" w:type="dxa"/>
            <w:noWrap w:val="0"/>
            <w:vAlign w:val="center"/>
          </w:tcPr>
          <w:p>
            <w:pPr>
              <w:pStyle w:val="2"/>
              <w:ind w:left="0" w:leftChars="0"/>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w:t>
            </w:r>
          </w:p>
        </w:tc>
        <w:tc>
          <w:tcPr>
            <w:tcW w:w="1458" w:type="dxa"/>
            <w:vMerge w:val="restart"/>
            <w:noWrap w:val="0"/>
            <w:vAlign w:val="center"/>
          </w:tcPr>
          <w:p>
            <w:pPr>
              <w:pStyle w:val="2"/>
              <w:ind w:left="0" w:leftChars="0"/>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一、紧扣工作重点，加强主动公开。</w:t>
            </w:r>
          </w:p>
        </w:tc>
        <w:tc>
          <w:tcPr>
            <w:tcW w:w="1815" w:type="dxa"/>
            <w:vMerge w:val="restart"/>
            <w:noWrap w:val="0"/>
            <w:vAlign w:val="center"/>
          </w:tcPr>
          <w:p>
            <w:pPr>
              <w:pStyle w:val="2"/>
              <w:ind w:left="0" w:leftChars="0"/>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（一）做好重大战略部署落实情况信息公开</w:t>
            </w:r>
          </w:p>
          <w:p>
            <w:pPr>
              <w:pStyle w:val="2"/>
              <w:ind w:left="0" w:leftChars="0"/>
              <w:jc w:val="center"/>
              <w:rPr>
                <w:rFonts w:hint="eastAsia" w:ascii="宋体" w:hAnsi="宋体" w:eastAsia="宋体" w:cs="宋体"/>
                <w:b/>
                <w:bCs/>
                <w:sz w:val="18"/>
                <w:szCs w:val="18"/>
                <w:lang w:val="en-US" w:eastAsia="zh-CN"/>
              </w:rPr>
            </w:pPr>
          </w:p>
        </w:tc>
        <w:tc>
          <w:tcPr>
            <w:tcW w:w="6938" w:type="dxa"/>
            <w:noWrap w:val="0"/>
            <w:vAlign w:val="top"/>
          </w:tcPr>
          <w:p>
            <w:pPr>
              <w:pStyle w:val="2"/>
              <w:ind w:left="0" w:leftChars="0" w:firstLine="360" w:firstLineChars="200"/>
              <w:jc w:val="both"/>
              <w:rPr>
                <w:rFonts w:hint="eastAsia" w:ascii="宋体" w:hAnsi="宋体" w:eastAsia="宋体" w:cs="宋体"/>
                <w:b w:val="0"/>
                <w:bCs w:val="0"/>
                <w:sz w:val="18"/>
                <w:szCs w:val="18"/>
              </w:rPr>
            </w:pPr>
            <w:r>
              <w:rPr>
                <w:rFonts w:hint="eastAsia" w:ascii="宋体" w:hAnsi="宋体" w:eastAsia="宋体" w:cs="宋体"/>
                <w:b w:val="0"/>
                <w:bCs w:val="0"/>
                <w:snapToGrid/>
                <w:kern w:val="2"/>
                <w:sz w:val="18"/>
                <w:szCs w:val="18"/>
                <w:lang w:val="en-US" w:eastAsia="zh-CN" w:bidi="ar-SA"/>
              </w:rPr>
              <w:t>紧紧围绕高标准建设长江经济带重要节点城市，高标准打造“活力、魅力、聚力”浔阳，培育高质量发展引擎，做优做强“一号发展工程”，构建“2+N”百亿产业集群，推进产业迭代升级。</w:t>
            </w:r>
          </w:p>
        </w:tc>
        <w:tc>
          <w:tcPr>
            <w:tcW w:w="1302"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napToGrid/>
                <w:kern w:val="2"/>
                <w:sz w:val="18"/>
                <w:szCs w:val="18"/>
                <w:lang w:val="en-US" w:eastAsia="zh-CN" w:bidi="ar-SA"/>
              </w:rPr>
              <w:t>区发改委、区工信局</w:t>
            </w:r>
          </w:p>
        </w:tc>
        <w:tc>
          <w:tcPr>
            <w:tcW w:w="1727"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napToGrid/>
                <w:kern w:val="2"/>
                <w:sz w:val="18"/>
                <w:szCs w:val="18"/>
                <w:lang w:val="en-US" w:eastAsia="zh-CN" w:bidi="ar-SA"/>
              </w:rPr>
              <w:t>区政府各相关部门、各街道</w:t>
            </w:r>
          </w:p>
        </w:tc>
        <w:tc>
          <w:tcPr>
            <w:tcW w:w="503" w:type="dxa"/>
            <w:noWrap w:val="0"/>
            <w:vAlign w:val="center"/>
          </w:tcPr>
          <w:p>
            <w:pPr>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431"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snapToGrid/>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bCs/>
                <w:snapToGrid/>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sz w:val="18"/>
                <w:szCs w:val="18"/>
              </w:rPr>
            </w:pPr>
            <w:r>
              <w:rPr>
                <w:rFonts w:hint="eastAsia" w:ascii="宋体" w:hAnsi="宋体" w:eastAsia="宋体" w:cs="宋体"/>
                <w:b w:val="0"/>
                <w:bCs w:val="0"/>
                <w:snapToGrid/>
                <w:kern w:val="2"/>
                <w:sz w:val="18"/>
                <w:szCs w:val="18"/>
                <w:lang w:val="en-US" w:eastAsia="zh-CN" w:bidi="ar-SA"/>
              </w:rPr>
              <w:t>重塑大中路核心商圈，打造区域消费中心。</w:t>
            </w:r>
          </w:p>
        </w:tc>
        <w:tc>
          <w:tcPr>
            <w:tcW w:w="1302"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区商务局</w:t>
            </w:r>
          </w:p>
        </w:tc>
        <w:tc>
          <w:tcPr>
            <w:tcW w:w="1727"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napToGrid/>
                <w:kern w:val="2"/>
                <w:sz w:val="18"/>
                <w:szCs w:val="18"/>
                <w:lang w:val="en-US" w:eastAsia="zh-CN" w:bidi="ar-SA"/>
              </w:rPr>
              <w:t>区</w:t>
            </w:r>
            <w:r>
              <w:rPr>
                <w:rFonts w:hint="eastAsia" w:ascii="宋体" w:hAnsi="宋体" w:eastAsia="宋体" w:cs="宋体"/>
                <w:b w:val="0"/>
                <w:bCs w:val="0"/>
                <w:snapToGrid/>
                <w:kern w:val="2"/>
                <w:sz w:val="18"/>
                <w:szCs w:val="18"/>
                <w:lang w:eastAsia="zh-CN" w:bidi="ar-SA"/>
              </w:rPr>
              <w:t>政府各相关部门</w:t>
            </w:r>
            <w:r>
              <w:rPr>
                <w:rFonts w:hint="eastAsia" w:ascii="宋体" w:hAnsi="宋体" w:eastAsia="宋体" w:cs="宋体"/>
                <w:b w:val="0"/>
                <w:bCs w:val="0"/>
                <w:snapToGrid/>
                <w:kern w:val="2"/>
                <w:sz w:val="18"/>
                <w:szCs w:val="18"/>
                <w:lang w:val="en-US" w:eastAsia="zh-CN" w:bidi="ar-SA"/>
              </w:rPr>
              <w:t>、各街道</w:t>
            </w:r>
          </w:p>
        </w:tc>
        <w:tc>
          <w:tcPr>
            <w:tcW w:w="503" w:type="dxa"/>
            <w:noWrap w:val="0"/>
            <w:vAlign w:val="center"/>
          </w:tcPr>
          <w:p>
            <w:pPr>
              <w:ind w:left="0" w:left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snapToGrid/>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bCs/>
                <w:snapToGrid/>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sz w:val="18"/>
                <w:szCs w:val="18"/>
              </w:rPr>
            </w:pPr>
            <w:r>
              <w:rPr>
                <w:rFonts w:hint="eastAsia" w:ascii="宋体" w:hAnsi="宋体" w:eastAsia="宋体" w:cs="宋体"/>
                <w:b w:val="0"/>
                <w:bCs w:val="0"/>
                <w:snapToGrid/>
                <w:kern w:val="2"/>
                <w:sz w:val="18"/>
                <w:szCs w:val="18"/>
                <w:lang w:val="en-US" w:eastAsia="zh-CN" w:bidi="ar-SA"/>
              </w:rPr>
              <w:t>坚持优品质、提能级，建设宜居宜业品质之城、生态之城、文明之城，努力打造“魅力江西”浔阳样板。</w:t>
            </w:r>
          </w:p>
        </w:tc>
        <w:tc>
          <w:tcPr>
            <w:tcW w:w="1302"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区住建局</w:t>
            </w:r>
          </w:p>
        </w:tc>
        <w:tc>
          <w:tcPr>
            <w:tcW w:w="1727"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napToGrid/>
                <w:kern w:val="2"/>
                <w:sz w:val="18"/>
                <w:szCs w:val="18"/>
                <w:lang w:val="en-US" w:eastAsia="zh-CN" w:bidi="ar-SA"/>
              </w:rPr>
              <w:t>区自然资源局、区生态环境局、区城管局、区农水局、区文新旅局</w:t>
            </w:r>
          </w:p>
        </w:tc>
        <w:tc>
          <w:tcPr>
            <w:tcW w:w="503" w:type="dxa"/>
            <w:noWrap w:val="0"/>
            <w:vAlign w:val="center"/>
          </w:tcPr>
          <w:p>
            <w:pPr>
              <w:ind w:left="0" w:left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snapToGrid/>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bCs/>
                <w:snapToGrid/>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sz w:val="18"/>
                <w:szCs w:val="18"/>
              </w:rPr>
            </w:pPr>
            <w:r>
              <w:rPr>
                <w:rFonts w:hint="eastAsia" w:ascii="宋体" w:hAnsi="宋体" w:eastAsia="宋体" w:cs="宋体"/>
                <w:b w:val="0"/>
                <w:bCs w:val="0"/>
                <w:snapToGrid/>
                <w:kern w:val="2"/>
                <w:sz w:val="18"/>
                <w:szCs w:val="18"/>
                <w:lang w:val="en-US" w:eastAsia="zh-CN" w:bidi="ar-SA"/>
              </w:rPr>
              <w:t>依法依规做好扩大有效投资相关规划、政策文件及重大建设项目信息公开，积极引导市场预期。</w:t>
            </w:r>
          </w:p>
        </w:tc>
        <w:tc>
          <w:tcPr>
            <w:tcW w:w="1302" w:type="dxa"/>
            <w:noWrap w:val="0"/>
            <w:vAlign w:val="center"/>
          </w:tcPr>
          <w:p>
            <w:pPr>
              <w:pStyle w:val="2"/>
              <w:ind w:left="0" w:leftChars="0"/>
              <w:jc w:val="center"/>
              <w:rPr>
                <w:rFonts w:hint="default" w:ascii="宋体" w:hAnsi="宋体" w:eastAsia="宋体" w:cs="宋体"/>
                <w:b w:val="0"/>
                <w:bCs w:val="0"/>
                <w:sz w:val="18"/>
                <w:szCs w:val="18"/>
                <w:woUserID w:val="1"/>
              </w:rPr>
            </w:pPr>
          </w:p>
        </w:tc>
        <w:tc>
          <w:tcPr>
            <w:tcW w:w="1727"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napToGrid/>
                <w:kern w:val="2"/>
                <w:sz w:val="18"/>
                <w:szCs w:val="18"/>
                <w:lang w:val="en-US" w:eastAsia="zh-CN" w:bidi="ar-SA"/>
              </w:rPr>
              <w:t>区发改委</w:t>
            </w:r>
          </w:p>
        </w:tc>
        <w:tc>
          <w:tcPr>
            <w:tcW w:w="503" w:type="dxa"/>
            <w:noWrap w:val="0"/>
            <w:vAlign w:val="center"/>
          </w:tcPr>
          <w:p>
            <w:pPr>
              <w:ind w:left="0" w:left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snapToGrid/>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bCs/>
                <w:snapToGrid/>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sz w:val="18"/>
                <w:szCs w:val="18"/>
              </w:rPr>
            </w:pPr>
            <w:r>
              <w:rPr>
                <w:rFonts w:hint="eastAsia" w:ascii="宋体" w:hAnsi="宋体" w:eastAsia="宋体" w:cs="宋体"/>
                <w:b w:val="0"/>
                <w:bCs w:val="0"/>
                <w:snapToGrid/>
                <w:kern w:val="2"/>
                <w:sz w:val="18"/>
                <w:szCs w:val="18"/>
                <w:lang w:val="en-US" w:eastAsia="zh-CN" w:bidi="ar-SA"/>
              </w:rPr>
              <w:t>深化国有企</w:t>
            </w:r>
            <w:r>
              <w:rPr>
                <w:rFonts w:hint="eastAsia" w:ascii="宋体" w:hAnsi="宋体" w:eastAsia="宋体" w:cs="宋体"/>
                <w:b w:val="0"/>
                <w:bCs w:val="0"/>
                <w:color w:val="auto"/>
                <w:sz w:val="18"/>
                <w:szCs w:val="18"/>
                <w:highlight w:val="none"/>
                <w:lang w:val="en-US" w:eastAsia="zh-CN"/>
              </w:rPr>
              <w:t>业改</w:t>
            </w:r>
            <w:r>
              <w:rPr>
                <w:rFonts w:hint="eastAsia" w:ascii="宋体" w:hAnsi="宋体" w:eastAsia="宋体" w:cs="宋体"/>
                <w:b w:val="0"/>
                <w:bCs w:val="0"/>
                <w:snapToGrid/>
                <w:kern w:val="2"/>
                <w:sz w:val="18"/>
                <w:szCs w:val="18"/>
                <w:lang w:val="en-US" w:eastAsia="zh-CN" w:bidi="ar-SA"/>
              </w:rPr>
              <w:t>革行动。</w:t>
            </w:r>
          </w:p>
        </w:tc>
        <w:tc>
          <w:tcPr>
            <w:tcW w:w="1302" w:type="dxa"/>
            <w:noWrap w:val="0"/>
            <w:vAlign w:val="center"/>
          </w:tcPr>
          <w:p>
            <w:pPr>
              <w:pStyle w:val="2"/>
              <w:ind w:left="0" w:leftChars="0"/>
              <w:jc w:val="center"/>
              <w:rPr>
                <w:rFonts w:hint="eastAsia" w:ascii="宋体" w:hAnsi="宋体" w:eastAsia="宋体" w:cs="宋体"/>
                <w:b w:val="0"/>
                <w:bCs w:val="0"/>
                <w:sz w:val="18"/>
                <w:szCs w:val="18"/>
              </w:rPr>
            </w:pPr>
          </w:p>
        </w:tc>
        <w:tc>
          <w:tcPr>
            <w:tcW w:w="1727"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napToGrid/>
                <w:kern w:val="2"/>
                <w:sz w:val="18"/>
                <w:szCs w:val="18"/>
                <w:lang w:val="en-US" w:eastAsia="zh-CN" w:bidi="ar-SA"/>
              </w:rPr>
              <w:t>区国资中心</w:t>
            </w:r>
          </w:p>
        </w:tc>
        <w:tc>
          <w:tcPr>
            <w:tcW w:w="503" w:type="dxa"/>
            <w:noWrap w:val="0"/>
            <w:vAlign w:val="center"/>
          </w:tcPr>
          <w:p>
            <w:pPr>
              <w:ind w:left="0" w:left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snapToGrid/>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bCs/>
                <w:snapToGrid/>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sz w:val="18"/>
                <w:szCs w:val="18"/>
              </w:rPr>
            </w:pPr>
            <w:r>
              <w:rPr>
                <w:rFonts w:hint="eastAsia" w:ascii="宋体" w:hAnsi="宋体" w:eastAsia="宋体" w:cs="宋体"/>
                <w:b w:val="0"/>
                <w:bCs w:val="0"/>
                <w:snapToGrid/>
                <w:kern w:val="2"/>
                <w:sz w:val="18"/>
                <w:szCs w:val="18"/>
                <w:lang w:val="en-US" w:eastAsia="zh-CN" w:bidi="ar-SA"/>
              </w:rPr>
              <w:t>深化绿色金融改革创新</w:t>
            </w:r>
            <w:r>
              <w:rPr>
                <w:rFonts w:hint="eastAsia" w:ascii="宋体" w:hAnsi="宋体" w:eastAsia="宋体" w:cs="宋体"/>
                <w:b w:val="0"/>
                <w:bCs w:val="0"/>
                <w:sz w:val="18"/>
                <w:szCs w:val="18"/>
                <w:lang w:val="en-US" w:eastAsia="zh-CN"/>
              </w:rPr>
              <w:t>和普惠金融改革试验区建设等重点领域改革攻坚信息公开。</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区政府办</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7</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color w:val="auto"/>
                <w:kern w:val="2"/>
                <w:sz w:val="18"/>
                <w:szCs w:val="18"/>
                <w:lang w:val="en-US" w:eastAsia="zh-CN" w:bidi="ar-SA"/>
              </w:rPr>
            </w:pPr>
          </w:p>
        </w:tc>
        <w:tc>
          <w:tcPr>
            <w:tcW w:w="1815" w:type="dxa"/>
            <w:vMerge w:val="restart"/>
            <w:noWrap w:val="0"/>
            <w:vAlign w:val="center"/>
          </w:tcPr>
          <w:p>
            <w:pPr>
              <w:pStyle w:val="2"/>
              <w:ind w:left="0" w:leftChars="0"/>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（二）做好优化营商环境信息公开</w:t>
            </w:r>
          </w:p>
          <w:p>
            <w:pPr>
              <w:pStyle w:val="2"/>
              <w:ind w:left="0" w:leftChars="0" w:firstLine="360" w:firstLineChars="200"/>
              <w:jc w:val="center"/>
              <w:rPr>
                <w:rFonts w:hint="eastAsia" w:ascii="宋体" w:hAnsi="宋体" w:eastAsia="宋体" w:cs="宋体"/>
                <w:b/>
                <w:bCs/>
                <w:color w:val="auto"/>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color w:val="FF0000"/>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加大“一号改革工程”相关政策及实施情况信息公开力度。</w:t>
            </w:r>
          </w:p>
        </w:tc>
        <w:tc>
          <w:tcPr>
            <w:tcW w:w="1302" w:type="dxa"/>
            <w:noWrap w:val="0"/>
            <w:vAlign w:val="center"/>
          </w:tcPr>
          <w:p>
            <w:pPr>
              <w:pStyle w:val="2"/>
              <w:ind w:left="0" w:leftChars="0" w:firstLine="0" w:firstLineChars="0"/>
              <w:jc w:val="center"/>
              <w:rPr>
                <w:rFonts w:hint="eastAsia" w:ascii="宋体" w:hAnsi="宋体" w:eastAsia="宋体" w:cs="宋体"/>
                <w:b w:val="0"/>
                <w:bCs w:val="0"/>
                <w:color w:val="auto"/>
                <w:kern w:val="2"/>
                <w:sz w:val="18"/>
                <w:szCs w:val="18"/>
                <w:lang w:val="en-US" w:eastAsia="zh-CN" w:bidi="ar-SA"/>
              </w:rPr>
            </w:pPr>
          </w:p>
        </w:tc>
        <w:tc>
          <w:tcPr>
            <w:tcW w:w="1727" w:type="dxa"/>
            <w:noWrap w:val="0"/>
            <w:vAlign w:val="center"/>
          </w:tcPr>
          <w:p>
            <w:pPr>
              <w:pStyle w:val="2"/>
              <w:ind w:left="0" w:leftChars="0" w:firstLine="0" w:firstLineChars="0"/>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15个一级指标牵头单位</w:t>
            </w:r>
          </w:p>
        </w:tc>
        <w:tc>
          <w:tcPr>
            <w:tcW w:w="503" w:type="dxa"/>
            <w:noWrap w:val="0"/>
            <w:vAlign w:val="center"/>
          </w:tcPr>
          <w:p>
            <w:pPr>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8</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color w:val="auto"/>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bCs/>
                <w:color w:val="auto"/>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color w:val="FF0000"/>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向市场主体全面公开市场监管规则和标准，以监管规则和标准的确定性保障市场监管的公正性持续推进反垄断和反不正当竞争执法信息公开工作，营造诚信守法、公平竞争的市场环境。加强对市场经营活动轻微违法行为依法免罚政策的宣传解读。</w:t>
            </w:r>
          </w:p>
        </w:tc>
        <w:tc>
          <w:tcPr>
            <w:tcW w:w="1302" w:type="dxa"/>
            <w:noWrap w:val="0"/>
            <w:vAlign w:val="center"/>
          </w:tcPr>
          <w:p>
            <w:pPr>
              <w:pStyle w:val="2"/>
              <w:ind w:left="0" w:leftChars="0"/>
              <w:jc w:val="center"/>
              <w:rPr>
                <w:rFonts w:hint="eastAsia" w:ascii="宋体" w:hAnsi="宋体" w:eastAsia="宋体" w:cs="宋体"/>
                <w:b w:val="0"/>
                <w:bCs w:val="0"/>
                <w:color w:val="auto"/>
                <w:kern w:val="2"/>
                <w:sz w:val="18"/>
                <w:szCs w:val="18"/>
                <w:lang w:val="en-US" w:eastAsia="zh-CN" w:bidi="ar-SA"/>
              </w:rPr>
            </w:pPr>
          </w:p>
        </w:tc>
        <w:tc>
          <w:tcPr>
            <w:tcW w:w="1727" w:type="dxa"/>
            <w:noWrap w:val="0"/>
            <w:vAlign w:val="center"/>
          </w:tcPr>
          <w:p>
            <w:pPr>
              <w:pStyle w:val="2"/>
              <w:jc w:val="both"/>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区市监局</w:t>
            </w:r>
          </w:p>
        </w:tc>
        <w:tc>
          <w:tcPr>
            <w:tcW w:w="503" w:type="dxa"/>
            <w:noWrap w:val="0"/>
            <w:vAlign w:val="center"/>
          </w:tcPr>
          <w:p>
            <w:pPr>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9</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color w:val="auto"/>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bCs/>
                <w:color w:val="auto"/>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color w:val="FF0000"/>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集中公开稳岗扩岗、减税降费、助企纾困等方面信息。</w:t>
            </w:r>
          </w:p>
        </w:tc>
        <w:tc>
          <w:tcPr>
            <w:tcW w:w="1302" w:type="dxa"/>
            <w:noWrap w:val="0"/>
            <w:vAlign w:val="center"/>
          </w:tcPr>
          <w:p>
            <w:pPr>
              <w:pStyle w:val="2"/>
              <w:ind w:left="0" w:leftChars="0"/>
              <w:jc w:val="center"/>
              <w:rPr>
                <w:rFonts w:hint="eastAsia" w:ascii="宋体" w:hAnsi="宋体" w:eastAsia="宋体" w:cs="宋体"/>
                <w:b w:val="0"/>
                <w:bCs w:val="0"/>
                <w:color w:val="auto"/>
                <w:kern w:val="2"/>
                <w:sz w:val="18"/>
                <w:szCs w:val="18"/>
                <w:lang w:val="en-US" w:eastAsia="zh-CN" w:bidi="ar-SA"/>
              </w:rPr>
            </w:pPr>
          </w:p>
        </w:tc>
        <w:tc>
          <w:tcPr>
            <w:tcW w:w="1727" w:type="dxa"/>
            <w:noWrap w:val="0"/>
            <w:vAlign w:val="center"/>
          </w:tcPr>
          <w:p>
            <w:pPr>
              <w:pStyle w:val="2"/>
              <w:ind w:left="0" w:leftChars="0" w:firstLine="0" w:firstLineChars="0"/>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区人社局、区财政局、区税务局、区工信局、区商务局</w:t>
            </w:r>
          </w:p>
        </w:tc>
        <w:tc>
          <w:tcPr>
            <w:tcW w:w="503" w:type="dxa"/>
            <w:noWrap w:val="0"/>
            <w:vAlign w:val="center"/>
          </w:tcPr>
          <w:p>
            <w:pPr>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10</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color w:val="auto"/>
                <w:kern w:val="2"/>
                <w:sz w:val="18"/>
                <w:szCs w:val="18"/>
                <w:lang w:val="en-US" w:eastAsia="zh-CN" w:bidi="ar-SA"/>
              </w:rPr>
            </w:pPr>
          </w:p>
        </w:tc>
        <w:tc>
          <w:tcPr>
            <w:tcW w:w="1815" w:type="dxa"/>
            <w:vMerge w:val="restart"/>
            <w:noWrap w:val="0"/>
            <w:vAlign w:val="center"/>
          </w:tcPr>
          <w:p>
            <w:pPr>
              <w:jc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（三）深入推进财政信息公开</w:t>
            </w:r>
          </w:p>
          <w:p>
            <w:pPr>
              <w:pStyle w:val="2"/>
              <w:ind w:left="0" w:leftChars="0" w:firstLine="360" w:firstLineChars="200"/>
              <w:jc w:val="center"/>
              <w:rPr>
                <w:rFonts w:hint="eastAsia" w:ascii="宋体" w:hAnsi="宋体" w:eastAsia="宋体" w:cs="宋体"/>
                <w:b/>
                <w:bCs/>
                <w:color w:val="auto"/>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color w:val="FF0000"/>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探索开展财政资金直达基层试点工作，做好直达资金和专项资金联动公开工作。</w:t>
            </w:r>
          </w:p>
        </w:tc>
        <w:tc>
          <w:tcPr>
            <w:tcW w:w="1302" w:type="dxa"/>
            <w:noWrap w:val="0"/>
            <w:vAlign w:val="center"/>
          </w:tcPr>
          <w:p>
            <w:pPr>
              <w:pStyle w:val="2"/>
              <w:ind w:left="0" w:leftChars="0" w:firstLine="0" w:firstLineChars="0"/>
              <w:jc w:val="center"/>
              <w:rPr>
                <w:rFonts w:hint="eastAsia" w:ascii="宋体" w:hAnsi="宋体" w:eastAsia="宋体" w:cs="宋体"/>
                <w:b w:val="0"/>
                <w:bCs w:val="0"/>
                <w:snapToGrid/>
                <w:kern w:val="2"/>
                <w:sz w:val="18"/>
                <w:szCs w:val="18"/>
                <w:lang w:val="en-US" w:eastAsia="zh-CN" w:bidi="ar-SA"/>
              </w:rPr>
            </w:pPr>
          </w:p>
        </w:tc>
        <w:tc>
          <w:tcPr>
            <w:tcW w:w="1727" w:type="dxa"/>
            <w:noWrap w:val="0"/>
            <w:vAlign w:val="center"/>
          </w:tcPr>
          <w:p>
            <w:pPr>
              <w:pStyle w:val="2"/>
              <w:ind w:left="0" w:leftChars="0" w:firstLine="360" w:firstLineChars="200"/>
              <w:jc w:val="center"/>
              <w:rPr>
                <w:rFonts w:hint="eastAsia" w:ascii="宋体" w:hAnsi="宋体" w:eastAsia="宋体" w:cs="宋体"/>
                <w:b w:val="0"/>
                <w:bCs w:val="0"/>
                <w:snapToGrid/>
                <w:kern w:val="2"/>
                <w:sz w:val="18"/>
                <w:szCs w:val="18"/>
                <w:lang w:val="en-US" w:eastAsia="zh-CN" w:bidi="ar-SA"/>
              </w:rPr>
            </w:pPr>
            <w:r>
              <w:rPr>
                <w:rFonts w:hint="eastAsia" w:ascii="宋体" w:hAnsi="宋体" w:eastAsia="宋体" w:cs="宋体"/>
                <w:b w:val="0"/>
                <w:bCs w:val="0"/>
                <w:snapToGrid/>
                <w:kern w:val="2"/>
                <w:sz w:val="18"/>
                <w:szCs w:val="18"/>
                <w:lang w:val="en-US" w:eastAsia="zh-CN" w:bidi="ar-SA"/>
              </w:rPr>
              <w:t>区财政局</w:t>
            </w:r>
          </w:p>
        </w:tc>
        <w:tc>
          <w:tcPr>
            <w:tcW w:w="503" w:type="dxa"/>
            <w:noWrap w:val="0"/>
            <w:vAlign w:val="center"/>
          </w:tcPr>
          <w:p>
            <w:pPr>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11</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color w:val="auto"/>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val="0"/>
                <w:bCs w:val="0"/>
                <w:color w:val="auto"/>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snapToGrid/>
                <w:kern w:val="2"/>
                <w:sz w:val="18"/>
                <w:szCs w:val="18"/>
                <w:lang w:val="en-US" w:eastAsia="zh-CN" w:bidi="ar-SA"/>
              </w:rPr>
              <w:t>稳步扩大预决算公开范围，推进部门所属单位预算、决算及相关报表公开。加大惠民惠企政策和资金发放信息公开力度，推动补贴信息公开向社区（村）延伸。规范推进财政预决算和“三公”经费信息公开，在政府门户网站及时、规范、集中公开部门财政预决算和“三公”经费信息。</w:t>
            </w:r>
          </w:p>
        </w:tc>
        <w:tc>
          <w:tcPr>
            <w:tcW w:w="1302" w:type="dxa"/>
            <w:noWrap w:val="0"/>
            <w:vAlign w:val="center"/>
          </w:tcPr>
          <w:p>
            <w:pPr>
              <w:pStyle w:val="2"/>
              <w:ind w:left="0" w:leftChars="0" w:firstLine="0" w:firstLineChars="0"/>
              <w:jc w:val="center"/>
              <w:rPr>
                <w:rFonts w:hint="eastAsia" w:ascii="宋体" w:hAnsi="宋体" w:eastAsia="宋体" w:cs="宋体"/>
                <w:b w:val="0"/>
                <w:bCs w:val="0"/>
                <w:snapToGrid/>
                <w:kern w:val="2"/>
                <w:sz w:val="18"/>
                <w:szCs w:val="18"/>
                <w:lang w:val="en-US" w:eastAsia="zh-CN" w:bidi="ar-SA"/>
              </w:rPr>
            </w:pPr>
            <w:r>
              <w:rPr>
                <w:rFonts w:hint="eastAsia" w:ascii="宋体" w:hAnsi="宋体" w:eastAsia="宋体" w:cs="宋体"/>
                <w:b w:val="0"/>
                <w:bCs w:val="0"/>
                <w:snapToGrid/>
                <w:kern w:val="2"/>
                <w:sz w:val="18"/>
                <w:szCs w:val="18"/>
                <w:lang w:val="en-US" w:eastAsia="zh-CN" w:bidi="ar-SA"/>
              </w:rPr>
              <w:t>区财政局</w:t>
            </w:r>
          </w:p>
        </w:tc>
        <w:tc>
          <w:tcPr>
            <w:tcW w:w="1727" w:type="dxa"/>
            <w:noWrap w:val="0"/>
            <w:vAlign w:val="center"/>
          </w:tcPr>
          <w:p>
            <w:pPr>
              <w:pStyle w:val="2"/>
              <w:ind w:left="0" w:leftChars="0" w:firstLine="0" w:firstLineChars="0"/>
              <w:jc w:val="center"/>
              <w:rPr>
                <w:rFonts w:hint="eastAsia" w:ascii="宋体" w:hAnsi="宋体" w:eastAsia="宋体" w:cs="宋体"/>
                <w:b w:val="0"/>
                <w:bCs w:val="0"/>
                <w:snapToGrid/>
                <w:kern w:val="2"/>
                <w:sz w:val="18"/>
                <w:szCs w:val="18"/>
                <w:lang w:val="en-US" w:eastAsia="zh-CN" w:bidi="ar-SA"/>
              </w:rPr>
            </w:pPr>
            <w:r>
              <w:rPr>
                <w:rFonts w:hint="eastAsia" w:ascii="宋体" w:hAnsi="宋体" w:eastAsia="宋体" w:cs="宋体"/>
                <w:b w:val="0"/>
                <w:bCs w:val="0"/>
                <w:snapToGrid/>
                <w:kern w:val="2"/>
                <w:sz w:val="18"/>
                <w:szCs w:val="18"/>
                <w:lang w:val="en-US" w:eastAsia="zh-CN" w:bidi="ar-SA"/>
              </w:rPr>
              <w:t>区政府各部门、各街道</w:t>
            </w:r>
          </w:p>
        </w:tc>
        <w:tc>
          <w:tcPr>
            <w:tcW w:w="503" w:type="dxa"/>
            <w:noWrap w:val="0"/>
            <w:vAlign w:val="center"/>
          </w:tcPr>
          <w:p>
            <w:pPr>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color w:val="auto"/>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val="0"/>
                <w:bCs w:val="0"/>
                <w:color w:val="auto"/>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推进被审计单位依法公开审计机关对外公告或披露问题的整改结果。</w:t>
            </w:r>
          </w:p>
          <w:p>
            <w:pPr>
              <w:pStyle w:val="2"/>
              <w:ind w:left="0" w:leftChars="0" w:firstLine="360" w:firstLineChars="200"/>
              <w:jc w:val="both"/>
              <w:rPr>
                <w:rFonts w:hint="eastAsia" w:ascii="宋体" w:hAnsi="宋体" w:eastAsia="宋体" w:cs="宋体"/>
                <w:b w:val="0"/>
                <w:bCs w:val="0"/>
                <w:color w:val="auto"/>
                <w:kern w:val="2"/>
                <w:sz w:val="18"/>
                <w:szCs w:val="18"/>
                <w:lang w:val="en-US" w:eastAsia="zh-CN" w:bidi="ar-SA"/>
              </w:rPr>
            </w:pPr>
          </w:p>
        </w:tc>
        <w:tc>
          <w:tcPr>
            <w:tcW w:w="1302" w:type="dxa"/>
            <w:noWrap w:val="0"/>
            <w:vAlign w:val="center"/>
          </w:tcPr>
          <w:p>
            <w:pPr>
              <w:pStyle w:val="2"/>
              <w:ind w:left="0" w:leftChars="0" w:firstLine="0" w:firstLineChars="0"/>
              <w:jc w:val="center"/>
              <w:rPr>
                <w:rFonts w:hint="eastAsia" w:ascii="宋体" w:hAnsi="宋体" w:eastAsia="宋体" w:cs="宋体"/>
                <w:b w:val="0"/>
                <w:bCs w:val="0"/>
                <w:snapToGrid/>
                <w:kern w:val="2"/>
                <w:sz w:val="18"/>
                <w:szCs w:val="18"/>
                <w:lang w:val="en-US" w:eastAsia="zh-CN" w:bidi="ar-SA"/>
              </w:rPr>
            </w:pPr>
            <w:r>
              <w:rPr>
                <w:rFonts w:hint="eastAsia" w:ascii="宋体" w:hAnsi="宋体" w:eastAsia="宋体" w:cs="宋体"/>
                <w:b w:val="0"/>
                <w:bCs w:val="0"/>
                <w:snapToGrid/>
                <w:kern w:val="2"/>
                <w:sz w:val="18"/>
                <w:szCs w:val="18"/>
                <w:lang w:val="en-US" w:eastAsia="zh-CN" w:bidi="ar-SA"/>
              </w:rPr>
              <w:t>区审计局</w:t>
            </w:r>
          </w:p>
        </w:tc>
        <w:tc>
          <w:tcPr>
            <w:tcW w:w="1727" w:type="dxa"/>
            <w:noWrap w:val="0"/>
            <w:vAlign w:val="center"/>
          </w:tcPr>
          <w:p>
            <w:pPr>
              <w:pStyle w:val="2"/>
              <w:ind w:left="0" w:leftChars="0" w:firstLine="0" w:firstLineChars="0"/>
              <w:jc w:val="center"/>
              <w:rPr>
                <w:rFonts w:hint="eastAsia" w:ascii="宋体" w:hAnsi="宋体" w:eastAsia="宋体" w:cs="宋体"/>
                <w:b w:val="0"/>
                <w:bCs w:val="0"/>
                <w:snapToGrid/>
                <w:kern w:val="2"/>
                <w:sz w:val="18"/>
                <w:szCs w:val="18"/>
                <w:lang w:val="en-US" w:eastAsia="zh-CN" w:bidi="ar-SA"/>
              </w:rPr>
            </w:pPr>
            <w:r>
              <w:rPr>
                <w:rFonts w:hint="eastAsia" w:ascii="宋体" w:hAnsi="宋体" w:eastAsia="宋体" w:cs="宋体"/>
                <w:b w:val="0"/>
                <w:bCs w:val="0"/>
                <w:snapToGrid/>
                <w:kern w:val="2"/>
                <w:sz w:val="18"/>
                <w:szCs w:val="18"/>
                <w:lang w:val="en-US" w:eastAsia="zh-CN" w:bidi="ar-SA"/>
              </w:rPr>
              <w:t>各被审计单位</w:t>
            </w:r>
          </w:p>
        </w:tc>
        <w:tc>
          <w:tcPr>
            <w:tcW w:w="503" w:type="dxa"/>
            <w:noWrap w:val="0"/>
            <w:vAlign w:val="center"/>
          </w:tcPr>
          <w:p>
            <w:pPr>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13</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color w:val="auto"/>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val="0"/>
                <w:bCs w:val="0"/>
                <w:color w:val="auto"/>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推进行政事业性收费和政府性基金项目公开，动态更新调整行政事业性收费和政府性基金目录清单，公开收费项目、政策依据、执收部门。</w:t>
            </w:r>
          </w:p>
        </w:tc>
        <w:tc>
          <w:tcPr>
            <w:tcW w:w="1302" w:type="dxa"/>
            <w:noWrap w:val="0"/>
            <w:vAlign w:val="center"/>
          </w:tcPr>
          <w:p>
            <w:pPr>
              <w:pStyle w:val="2"/>
              <w:ind w:left="0" w:leftChars="0"/>
              <w:jc w:val="center"/>
              <w:rPr>
                <w:rFonts w:hint="eastAsia" w:ascii="宋体" w:hAnsi="宋体" w:eastAsia="宋体" w:cs="宋体"/>
                <w:b w:val="0"/>
                <w:bCs w:val="0"/>
                <w:color w:val="000000"/>
                <w:kern w:val="2"/>
                <w:sz w:val="18"/>
                <w:szCs w:val="18"/>
                <w:shd w:val="clear" w:color="auto" w:fill="FFFFFF"/>
                <w:lang w:val="en-US" w:eastAsia="zh-CN" w:bidi="ar-SA"/>
              </w:rPr>
            </w:pPr>
            <w:r>
              <w:rPr>
                <w:rFonts w:hint="eastAsia" w:ascii="宋体" w:hAnsi="宋体" w:eastAsia="宋体" w:cs="宋体"/>
                <w:b w:val="0"/>
                <w:bCs w:val="0"/>
                <w:color w:val="auto"/>
                <w:kern w:val="2"/>
                <w:sz w:val="18"/>
                <w:szCs w:val="18"/>
                <w:lang w:val="en-US" w:eastAsia="zh-CN" w:bidi="ar-SA"/>
              </w:rPr>
              <w:t>区财政局</w:t>
            </w:r>
          </w:p>
        </w:tc>
        <w:tc>
          <w:tcPr>
            <w:tcW w:w="1727" w:type="dxa"/>
            <w:noWrap w:val="0"/>
            <w:vAlign w:val="center"/>
          </w:tcPr>
          <w:p>
            <w:pPr>
              <w:pStyle w:val="2"/>
              <w:ind w:left="0" w:leftChars="0"/>
              <w:jc w:val="center"/>
              <w:rPr>
                <w:rFonts w:hint="eastAsia" w:ascii="宋体" w:hAnsi="宋体" w:eastAsia="宋体" w:cs="宋体"/>
                <w:b w:val="0"/>
                <w:bCs w:val="0"/>
                <w:color w:val="000000"/>
                <w:kern w:val="2"/>
                <w:sz w:val="18"/>
                <w:szCs w:val="18"/>
                <w:shd w:val="clear" w:color="auto" w:fill="FFFFFF"/>
                <w:lang w:val="en-US" w:eastAsia="zh-CN" w:bidi="ar-SA"/>
              </w:rPr>
            </w:pPr>
            <w:r>
              <w:rPr>
                <w:rFonts w:hint="eastAsia" w:ascii="宋体" w:hAnsi="宋体" w:eastAsia="宋体" w:cs="宋体"/>
                <w:b w:val="0"/>
                <w:bCs w:val="0"/>
                <w:color w:val="auto"/>
                <w:kern w:val="2"/>
                <w:sz w:val="18"/>
                <w:szCs w:val="18"/>
                <w:lang w:val="en-US" w:eastAsia="zh-CN" w:bidi="ar-SA"/>
              </w:rPr>
              <w:t>区政府各部门、各街道</w:t>
            </w:r>
          </w:p>
        </w:tc>
        <w:tc>
          <w:tcPr>
            <w:tcW w:w="503" w:type="dxa"/>
            <w:noWrap w:val="0"/>
            <w:vAlign w:val="center"/>
          </w:tcPr>
          <w:p>
            <w:pPr>
              <w:ind w:left="0" w:leftChars="0"/>
              <w:jc w:val="center"/>
              <w:rPr>
                <w:rFonts w:hint="eastAsia" w:ascii="宋体" w:hAnsi="宋体" w:eastAsia="宋体" w:cs="宋体"/>
                <w:b w:val="0"/>
                <w:bCs w:val="0"/>
                <w:color w:val="000000"/>
                <w:kern w:val="2"/>
                <w:sz w:val="18"/>
                <w:szCs w:val="18"/>
                <w:shd w:val="clear" w:color="auto" w:fill="FFFFFF"/>
                <w:lang w:val="en-US" w:eastAsia="zh-CN" w:bidi="ar-SA"/>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14</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snapToGrid/>
                <w:color w:val="auto"/>
                <w:kern w:val="2"/>
                <w:sz w:val="18"/>
                <w:szCs w:val="18"/>
                <w:lang w:val="en-US" w:eastAsia="zh-CN" w:bidi="ar-SA"/>
              </w:rPr>
            </w:pPr>
          </w:p>
        </w:tc>
        <w:tc>
          <w:tcPr>
            <w:tcW w:w="1815" w:type="dxa"/>
            <w:vMerge w:val="restart"/>
            <w:noWrap w:val="0"/>
            <w:vAlign w:val="center"/>
          </w:tcPr>
          <w:p>
            <w:pPr>
              <w:pStyle w:val="5"/>
              <w:numPr>
                <w:ilvl w:val="0"/>
                <w:numId w:val="0"/>
              </w:numPr>
              <w:jc w:val="center"/>
              <w:rPr>
                <w:rFonts w:hint="eastAsia" w:ascii="宋体" w:hAnsi="宋体" w:eastAsia="宋体" w:cs="宋体"/>
                <w:b/>
                <w:bCs/>
                <w:snapToGrid/>
                <w:color w:val="auto"/>
                <w:kern w:val="2"/>
                <w:sz w:val="18"/>
                <w:szCs w:val="18"/>
                <w:lang w:val="en-US" w:eastAsia="zh-CN" w:bidi="ar-SA"/>
              </w:rPr>
            </w:pPr>
            <w:r>
              <w:rPr>
                <w:rFonts w:hint="eastAsia" w:ascii="宋体" w:hAnsi="宋体" w:eastAsia="宋体" w:cs="宋体"/>
                <w:b/>
                <w:bCs/>
                <w:snapToGrid/>
                <w:color w:val="auto"/>
                <w:kern w:val="2"/>
                <w:sz w:val="18"/>
                <w:szCs w:val="18"/>
                <w:lang w:val="en-US" w:eastAsia="zh-CN" w:bidi="ar-SA"/>
              </w:rPr>
              <w:t>（四）做好重点民生领域信息公开。</w:t>
            </w:r>
          </w:p>
          <w:p>
            <w:pPr>
              <w:pStyle w:val="2"/>
              <w:ind w:left="0" w:leftChars="0" w:firstLine="360" w:firstLineChars="200"/>
              <w:jc w:val="center"/>
              <w:rPr>
                <w:rFonts w:hint="eastAsia" w:ascii="宋体" w:hAnsi="宋体" w:eastAsia="宋体" w:cs="宋体"/>
                <w:b/>
                <w:bCs/>
                <w:snapToGrid/>
                <w:color w:val="auto"/>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sz w:val="18"/>
                <w:szCs w:val="18"/>
              </w:rPr>
            </w:pPr>
            <w:r>
              <w:rPr>
                <w:rFonts w:hint="eastAsia" w:ascii="宋体" w:hAnsi="宋体" w:eastAsia="宋体" w:cs="宋体"/>
                <w:b w:val="0"/>
                <w:bCs w:val="0"/>
                <w:snapToGrid/>
                <w:color w:val="auto"/>
                <w:kern w:val="2"/>
                <w:sz w:val="18"/>
                <w:szCs w:val="18"/>
                <w:lang w:val="en-US" w:eastAsia="zh-CN" w:bidi="ar-SA"/>
              </w:rPr>
              <w:t>做好就业、教育、医疗、养老、低保、工伤、职称改革、旧城改造、公共文化等领域的信息公开工作。做好面向高校毕业生、退役军人、农民工、失业人员等重点群体的就业帮扶、技能培训的政策公开。</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color w:val="000000"/>
                <w:sz w:val="18"/>
                <w:szCs w:val="18"/>
                <w:shd w:val="clear" w:color="auto" w:fill="FFFFFF"/>
              </w:rPr>
              <w:t>区人社局</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color w:val="auto"/>
                <w:kern w:val="2"/>
                <w:sz w:val="18"/>
                <w:szCs w:val="18"/>
                <w:lang w:val="en-US" w:eastAsia="zh-CN" w:bidi="ar-SA"/>
              </w:rPr>
              <w:t>区</w:t>
            </w:r>
            <w:r>
              <w:rPr>
                <w:rFonts w:hint="eastAsia" w:ascii="宋体" w:hAnsi="宋体" w:eastAsia="宋体" w:cs="宋体"/>
                <w:b w:val="0"/>
                <w:bCs w:val="0"/>
                <w:snapToGrid/>
                <w:color w:val="auto"/>
                <w:kern w:val="2"/>
                <w:sz w:val="18"/>
                <w:szCs w:val="18"/>
                <w:lang w:val="en-US" w:eastAsia="zh-CN" w:bidi="ar-SA"/>
              </w:rPr>
              <w:t>教体局、区退役军人事务局、各街道</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15</w:t>
            </w:r>
          </w:p>
        </w:tc>
        <w:tc>
          <w:tcPr>
            <w:tcW w:w="1458" w:type="dxa"/>
            <w:vMerge w:val="restart"/>
            <w:noWrap w:val="0"/>
            <w:vAlign w:val="center"/>
          </w:tcPr>
          <w:p>
            <w:pPr>
              <w:pStyle w:val="2"/>
              <w:tabs>
                <w:tab w:val="left" w:pos="3283"/>
              </w:tabs>
              <w:ind w:left="0" w:leftChars="0" w:firstLine="360" w:firstLineChars="200"/>
              <w:jc w:val="center"/>
              <w:rPr>
                <w:rFonts w:hint="eastAsia" w:ascii="宋体" w:hAnsi="宋体" w:eastAsia="宋体" w:cs="宋体"/>
                <w:b w:val="0"/>
                <w:bCs w:val="0"/>
                <w:snapToGrid/>
                <w:color w:val="auto"/>
                <w:kern w:val="2"/>
                <w:sz w:val="18"/>
                <w:szCs w:val="18"/>
                <w:lang w:val="en-US" w:eastAsia="zh-CN" w:bidi="ar-SA"/>
              </w:rPr>
            </w:pPr>
          </w:p>
        </w:tc>
        <w:tc>
          <w:tcPr>
            <w:tcW w:w="1815"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bCs/>
                <w:snapToGrid/>
                <w:color w:val="auto"/>
                <w:kern w:val="2"/>
                <w:sz w:val="18"/>
                <w:szCs w:val="18"/>
                <w:lang w:val="en-US" w:eastAsia="zh-CN" w:bidi="ar-SA"/>
              </w:rPr>
            </w:pPr>
          </w:p>
        </w:tc>
        <w:tc>
          <w:tcPr>
            <w:tcW w:w="6938" w:type="dxa"/>
            <w:noWrap w:val="0"/>
            <w:vAlign w:val="top"/>
          </w:tcPr>
          <w:p>
            <w:pPr>
              <w:pStyle w:val="2"/>
              <w:tabs>
                <w:tab w:val="left" w:pos="3283"/>
              </w:tabs>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color w:val="auto"/>
                <w:kern w:val="2"/>
                <w:sz w:val="18"/>
                <w:szCs w:val="18"/>
                <w:lang w:val="en-US" w:eastAsia="zh-CN" w:bidi="ar-SA"/>
              </w:rPr>
              <w:t>及时公开义务教育招生政策、公办学校划片范围、民办学校招生计划等信息，多渠道扩大学前教育供给的相关信息。</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color w:val="auto"/>
                <w:kern w:val="2"/>
                <w:sz w:val="18"/>
                <w:szCs w:val="18"/>
                <w:lang w:val="en-US" w:eastAsia="zh-CN" w:bidi="ar-SA"/>
              </w:rPr>
              <w:t>区</w:t>
            </w:r>
            <w:r>
              <w:rPr>
                <w:rFonts w:hint="eastAsia" w:ascii="宋体" w:hAnsi="宋体" w:eastAsia="宋体" w:cs="宋体"/>
                <w:b w:val="0"/>
                <w:bCs w:val="0"/>
                <w:snapToGrid/>
                <w:color w:val="auto"/>
                <w:kern w:val="2"/>
                <w:sz w:val="18"/>
                <w:szCs w:val="18"/>
                <w:lang w:val="en-US" w:eastAsia="zh-CN" w:bidi="ar-SA"/>
              </w:rPr>
              <w:t>教体局、各街道</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6</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snapToGrid/>
                <w:color w:val="auto"/>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bCs/>
                <w:snapToGrid/>
                <w:color w:val="auto"/>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color w:val="auto"/>
                <w:kern w:val="2"/>
                <w:sz w:val="18"/>
                <w:szCs w:val="18"/>
                <w:lang w:val="en-US" w:eastAsia="zh-CN" w:bidi="ar-SA"/>
              </w:rPr>
              <w:t>加大重大传染病防控、医疗服务、药品安全、公立医疗卫生机构绩效考核结果等方面信息公开力度</w:t>
            </w:r>
            <w:r>
              <w:rPr>
                <w:rFonts w:hint="eastAsia" w:ascii="宋体" w:hAnsi="宋体" w:eastAsia="宋体" w:cs="宋体"/>
                <w:b w:val="0"/>
                <w:bCs w:val="0"/>
                <w:snapToGrid/>
                <w:color w:val="auto"/>
                <w:kern w:val="2"/>
                <w:sz w:val="18"/>
                <w:szCs w:val="18"/>
                <w:lang w:eastAsia="zh-CN" w:bidi="ar-SA"/>
              </w:rPr>
              <w:t>。</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区卫健委</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7</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snapToGrid/>
                <w:color w:val="auto"/>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bCs/>
                <w:snapToGrid/>
                <w:color w:val="auto"/>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color w:val="auto"/>
                <w:kern w:val="2"/>
                <w:sz w:val="18"/>
                <w:szCs w:val="18"/>
                <w:lang w:val="en-US" w:eastAsia="zh-CN" w:bidi="ar-SA"/>
              </w:rPr>
              <w:t>加快历史征地信息补录进度，增强信息查询的精准性、便捷性。</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p>
        </w:tc>
        <w:tc>
          <w:tcPr>
            <w:tcW w:w="1727" w:type="dxa"/>
            <w:noWrap w:val="0"/>
            <w:vAlign w:val="center"/>
          </w:tcPr>
          <w:p>
            <w:pPr>
              <w:pStyle w:val="2"/>
              <w:ind w:left="0" w:leftChars="0"/>
              <w:jc w:val="center"/>
              <w:rPr>
                <w:rFonts w:hint="eastAsia" w:ascii="宋体" w:hAnsi="宋体" w:eastAsia="宋体" w:cs="宋体"/>
                <w:b w:val="0"/>
                <w:bCs w:val="0"/>
                <w:sz w:val="18"/>
                <w:szCs w:val="18"/>
              </w:rPr>
            </w:pPr>
            <w:r>
              <w:rPr>
                <w:rFonts w:hint="eastAsia" w:ascii="宋体" w:hAnsi="宋体" w:eastAsia="宋体" w:cs="宋体"/>
                <w:b w:val="0"/>
                <w:bCs w:val="0"/>
                <w:color w:val="auto"/>
                <w:kern w:val="2"/>
                <w:sz w:val="18"/>
                <w:szCs w:val="18"/>
                <w:lang w:val="en-US" w:eastAsia="zh-CN" w:bidi="ar-SA"/>
              </w:rPr>
              <w:t>区</w:t>
            </w:r>
            <w:r>
              <w:rPr>
                <w:rFonts w:hint="eastAsia" w:ascii="宋体" w:hAnsi="宋体" w:eastAsia="宋体" w:cs="宋体"/>
                <w:b w:val="0"/>
                <w:bCs w:val="0"/>
                <w:snapToGrid/>
                <w:color w:val="auto"/>
                <w:kern w:val="2"/>
                <w:sz w:val="18"/>
                <w:szCs w:val="18"/>
                <w:lang w:val="en-US" w:eastAsia="zh-CN" w:bidi="ar-SA"/>
              </w:rPr>
              <w:t>自然资源局</w:t>
            </w:r>
          </w:p>
        </w:tc>
        <w:tc>
          <w:tcPr>
            <w:tcW w:w="503" w:type="dxa"/>
            <w:noWrap w:val="0"/>
            <w:vAlign w:val="center"/>
          </w:tcPr>
          <w:p>
            <w:pPr>
              <w:ind w:left="0" w:left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8</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snapToGrid/>
                <w:color w:val="auto"/>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bCs/>
                <w:snapToGrid/>
                <w:color w:val="auto"/>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color w:val="auto"/>
                <w:kern w:val="2"/>
                <w:sz w:val="18"/>
                <w:szCs w:val="18"/>
                <w:lang w:val="en-US" w:eastAsia="zh-CN" w:bidi="ar-SA"/>
              </w:rPr>
              <w:t>做好公共文化设施提档升级、公共文化服务效能提升、全民阅读品牌创建等信息公开。</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color w:val="auto"/>
                <w:kern w:val="2"/>
                <w:sz w:val="18"/>
                <w:szCs w:val="18"/>
                <w:lang w:val="en-US" w:eastAsia="zh-CN" w:bidi="ar-SA"/>
              </w:rPr>
              <w:t>区</w:t>
            </w:r>
            <w:r>
              <w:rPr>
                <w:rFonts w:hint="eastAsia" w:ascii="宋体" w:hAnsi="宋体" w:eastAsia="宋体" w:cs="宋体"/>
                <w:b w:val="0"/>
                <w:bCs w:val="0"/>
                <w:snapToGrid/>
                <w:color w:val="auto"/>
                <w:kern w:val="2"/>
                <w:sz w:val="18"/>
                <w:szCs w:val="18"/>
                <w:lang w:val="en-US" w:eastAsia="zh-CN" w:bidi="ar-SA"/>
              </w:rPr>
              <w:t>文新旅局</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9</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snapToGrid/>
                <w:color w:val="auto"/>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bCs/>
                <w:snapToGrid/>
                <w:color w:val="auto"/>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color w:val="auto"/>
                <w:kern w:val="2"/>
                <w:sz w:val="18"/>
                <w:szCs w:val="18"/>
                <w:lang w:val="en-US" w:eastAsia="zh-CN" w:bidi="ar-SA"/>
              </w:rPr>
              <w:t>依托省公共资源交易平台，做好公共资源交易信息公开。</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bookmarkStart w:id="0" w:name="_GoBack"/>
            <w:bookmarkEnd w:id="0"/>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color w:val="auto"/>
                <w:kern w:val="2"/>
                <w:sz w:val="18"/>
                <w:szCs w:val="18"/>
                <w:lang w:val="en-US" w:eastAsia="zh-CN" w:bidi="ar-SA"/>
              </w:rPr>
              <w:t>区</w:t>
            </w:r>
            <w:r>
              <w:rPr>
                <w:rFonts w:hint="eastAsia" w:ascii="宋体" w:hAnsi="宋体" w:eastAsia="宋体" w:cs="宋体"/>
                <w:b w:val="0"/>
                <w:bCs w:val="0"/>
                <w:snapToGrid/>
                <w:color w:val="auto"/>
                <w:kern w:val="2"/>
                <w:sz w:val="18"/>
                <w:szCs w:val="18"/>
                <w:lang w:val="en-US" w:eastAsia="zh-CN" w:bidi="ar-SA"/>
              </w:rPr>
              <w:t>行政审批局</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snapToGrid/>
                <w:color w:val="auto"/>
                <w:kern w:val="2"/>
                <w:sz w:val="18"/>
                <w:szCs w:val="18"/>
                <w:lang w:val="en-US" w:eastAsia="zh-CN" w:bidi="ar-SA"/>
              </w:rPr>
            </w:pPr>
          </w:p>
        </w:tc>
        <w:tc>
          <w:tcPr>
            <w:tcW w:w="1815" w:type="dxa"/>
            <w:vMerge w:val="continue"/>
            <w:noWrap w:val="0"/>
            <w:vAlign w:val="center"/>
          </w:tcPr>
          <w:p>
            <w:pPr>
              <w:pStyle w:val="2"/>
              <w:ind w:left="0" w:leftChars="0" w:firstLine="360" w:firstLineChars="200"/>
              <w:jc w:val="center"/>
              <w:rPr>
                <w:rFonts w:hint="eastAsia" w:ascii="宋体" w:hAnsi="宋体" w:eastAsia="宋体" w:cs="宋体"/>
                <w:b/>
                <w:bCs/>
                <w:snapToGrid/>
                <w:color w:val="auto"/>
                <w:kern w:val="2"/>
                <w:sz w:val="18"/>
                <w:szCs w:val="18"/>
                <w:lang w:val="en-US" w:eastAsia="zh-CN" w:bidi="ar-SA"/>
              </w:rPr>
            </w:pPr>
          </w:p>
        </w:tc>
        <w:tc>
          <w:tcPr>
            <w:tcW w:w="6938" w:type="dxa"/>
            <w:noWrap w:val="0"/>
            <w:vAlign w:val="top"/>
          </w:tcPr>
          <w:p>
            <w:pPr>
              <w:pStyle w:val="2"/>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color w:val="auto"/>
                <w:kern w:val="2"/>
                <w:sz w:val="18"/>
                <w:szCs w:val="18"/>
                <w:lang w:val="en-US" w:eastAsia="zh-CN" w:bidi="ar-SA"/>
              </w:rPr>
              <w:t>在全区开展民生领域全流程信息公开标准化试点，对列入人大票决的民生实事项目实行全流程公开，在政务网站、政务新媒体开设专栏集中展示。</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区数字中心</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区政府各部门、各街道</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21</w:t>
            </w:r>
          </w:p>
        </w:tc>
        <w:tc>
          <w:tcPr>
            <w:tcW w:w="1458" w:type="dxa"/>
            <w:vMerge w:val="restart"/>
            <w:noWrap w:val="0"/>
            <w:vAlign w:val="center"/>
          </w:tcPr>
          <w:p>
            <w:pPr>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二、紧扣政策落地见效强化解读回应</w:t>
            </w:r>
          </w:p>
          <w:p>
            <w:pPr>
              <w:pStyle w:val="2"/>
              <w:ind w:left="0" w:leftChars="0" w:firstLine="0" w:firstLineChars="0"/>
              <w:jc w:val="center"/>
              <w:rPr>
                <w:rFonts w:hint="eastAsia" w:ascii="宋体" w:hAnsi="宋体" w:eastAsia="宋体" w:cs="宋体"/>
                <w:b w:val="0"/>
                <w:bCs w:val="0"/>
                <w:snapToGrid/>
                <w:color w:val="auto"/>
                <w:kern w:val="2"/>
                <w:sz w:val="18"/>
                <w:szCs w:val="18"/>
                <w:lang w:eastAsia="zh-CN" w:bidi="ar-SA"/>
              </w:rPr>
            </w:pPr>
          </w:p>
        </w:tc>
        <w:tc>
          <w:tcPr>
            <w:tcW w:w="1815" w:type="dxa"/>
            <w:noWrap w:val="0"/>
            <w:vAlign w:val="center"/>
          </w:tcPr>
          <w:p>
            <w:pPr>
              <w:pStyle w:val="2"/>
              <w:ind w:left="0" w:leftChars="0" w:firstLine="0" w:firstLineChars="0"/>
              <w:jc w:val="center"/>
              <w:rPr>
                <w:rFonts w:hint="eastAsia" w:ascii="宋体" w:hAnsi="宋体" w:eastAsia="宋体" w:cs="宋体"/>
                <w:b/>
                <w:bCs/>
                <w:snapToGrid/>
                <w:color w:val="auto"/>
                <w:kern w:val="2"/>
                <w:sz w:val="18"/>
                <w:szCs w:val="18"/>
                <w:lang w:eastAsia="zh-CN" w:bidi="ar-SA"/>
              </w:rPr>
            </w:pPr>
            <w:r>
              <w:rPr>
                <w:rFonts w:hint="eastAsia" w:ascii="宋体" w:hAnsi="宋体" w:eastAsia="宋体" w:cs="宋体"/>
                <w:b/>
                <w:bCs/>
                <w:snapToGrid/>
                <w:color w:val="auto"/>
                <w:kern w:val="2"/>
                <w:sz w:val="18"/>
                <w:szCs w:val="18"/>
                <w:lang w:val="en-US" w:eastAsia="zh-CN" w:bidi="ar-SA"/>
              </w:rPr>
              <w:t>(五)提高政策解读实效。</w:t>
            </w:r>
          </w:p>
        </w:tc>
        <w:tc>
          <w:tcPr>
            <w:tcW w:w="6938" w:type="dxa"/>
            <w:noWrap w:val="0"/>
            <w:vAlign w:val="top"/>
          </w:tcPr>
          <w:p>
            <w:pPr>
              <w:pStyle w:val="2"/>
              <w:ind w:left="0" w:leftChars="0" w:firstLine="0" w:firstLineChars="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color w:val="auto"/>
                <w:kern w:val="2"/>
                <w:sz w:val="18"/>
                <w:szCs w:val="18"/>
                <w:lang w:val="en-US" w:eastAsia="zh-CN" w:bidi="ar-SA"/>
              </w:rPr>
              <w:t>围绕</w:t>
            </w:r>
            <w:r>
              <w:rPr>
                <w:rFonts w:hint="eastAsia" w:ascii="宋体" w:hAnsi="宋体" w:eastAsia="宋体" w:cs="宋体"/>
                <w:b w:val="0"/>
                <w:bCs w:val="0"/>
                <w:snapToGrid/>
                <w:color w:val="auto"/>
                <w:kern w:val="2"/>
                <w:sz w:val="18"/>
                <w:szCs w:val="18"/>
                <w:lang w:eastAsia="zh-CN" w:bidi="ar-SA"/>
              </w:rPr>
              <w:t>全区工作重点</w:t>
            </w:r>
            <w:r>
              <w:rPr>
                <w:rFonts w:hint="eastAsia" w:ascii="宋体" w:hAnsi="宋体" w:eastAsia="宋体" w:cs="宋体"/>
                <w:b w:val="0"/>
                <w:bCs w:val="0"/>
                <w:snapToGrid/>
                <w:color w:val="auto"/>
                <w:kern w:val="2"/>
                <w:sz w:val="18"/>
                <w:szCs w:val="18"/>
                <w:lang w:val="en-US" w:eastAsia="zh-CN" w:bidi="ar-SA"/>
              </w:rPr>
              <w:t>，加大对乡村振兴、生态文明建设、重点民生领域、重点建设项目等方面信息公开力度。坚持政策性文件与解读材料同步起草、同步审签、同步发布。</w:t>
            </w:r>
            <w:r>
              <w:rPr>
                <w:rFonts w:hint="eastAsia" w:ascii="宋体" w:hAnsi="宋体" w:eastAsia="宋体" w:cs="宋体"/>
                <w:b w:val="0"/>
                <w:bCs w:val="0"/>
                <w:snapToGrid/>
                <w:color w:val="auto"/>
                <w:kern w:val="2"/>
                <w:sz w:val="18"/>
                <w:szCs w:val="18"/>
                <w:lang w:eastAsia="zh-CN" w:bidi="ar-SA"/>
              </w:rPr>
              <w:t>根据</w:t>
            </w:r>
            <w:r>
              <w:rPr>
                <w:rFonts w:hint="eastAsia" w:ascii="宋体" w:hAnsi="宋体" w:eastAsia="宋体" w:cs="宋体"/>
                <w:b w:val="0"/>
                <w:bCs w:val="0"/>
                <w:snapToGrid/>
                <w:color w:val="auto"/>
                <w:kern w:val="2"/>
                <w:sz w:val="18"/>
                <w:szCs w:val="18"/>
                <w:lang w:val="en-US" w:eastAsia="zh-CN" w:bidi="ar-SA"/>
              </w:rPr>
              <w:t>政策出台目的、主要内容、适用范围、办理流程、新旧政策差异等实质性内容开展深入浅出的解读，准确传递政策意图，促进政策落地落实。政策出台前，要通过主动向媒体提供素材、召开政策例行吹风会等方式，做好发布解读工作。政策出台后，针对社会公众咨询关注的热点、疑点和在实施过程中出现的问题，开展持续跟踪解读、主动答疑解惑 。</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区政府办、区数字中心</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区政府各部门，各街道</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22</w:t>
            </w:r>
          </w:p>
        </w:tc>
        <w:tc>
          <w:tcPr>
            <w:tcW w:w="1458" w:type="dxa"/>
            <w:vMerge w:val="continue"/>
            <w:noWrap w:val="0"/>
            <w:vAlign w:val="center"/>
          </w:tcPr>
          <w:p>
            <w:pPr>
              <w:pStyle w:val="2"/>
              <w:ind w:left="0" w:leftChars="0" w:firstLine="360" w:firstLineChars="200"/>
              <w:jc w:val="center"/>
              <w:rPr>
                <w:rFonts w:hint="eastAsia" w:ascii="宋体" w:hAnsi="宋体" w:eastAsia="宋体" w:cs="宋体"/>
                <w:b w:val="0"/>
                <w:bCs w:val="0"/>
                <w:snapToGrid/>
                <w:color w:val="auto"/>
                <w:kern w:val="2"/>
                <w:sz w:val="18"/>
                <w:szCs w:val="18"/>
                <w:lang w:val="en-US" w:eastAsia="zh-CN" w:bidi="ar-SA"/>
              </w:rPr>
            </w:pPr>
          </w:p>
        </w:tc>
        <w:tc>
          <w:tcPr>
            <w:tcW w:w="1815" w:type="dxa"/>
            <w:vMerge w:val="restart"/>
            <w:noWrap w:val="0"/>
            <w:vAlign w:val="center"/>
          </w:tcPr>
          <w:p>
            <w:pPr>
              <w:pStyle w:val="2"/>
              <w:ind w:left="0" w:leftChars="0" w:firstLine="0" w:firstLineChars="0"/>
              <w:jc w:val="center"/>
              <w:rPr>
                <w:rFonts w:hint="eastAsia" w:ascii="宋体" w:hAnsi="宋体" w:eastAsia="宋体" w:cs="宋体"/>
                <w:b/>
                <w:bCs/>
                <w:snapToGrid/>
                <w:color w:val="auto"/>
                <w:kern w:val="2"/>
                <w:sz w:val="18"/>
                <w:szCs w:val="18"/>
                <w:lang w:val="en-US" w:eastAsia="zh-CN" w:bidi="ar-SA"/>
              </w:rPr>
            </w:pPr>
            <w:r>
              <w:rPr>
                <w:rFonts w:hint="eastAsia" w:ascii="宋体" w:hAnsi="宋体" w:eastAsia="宋体" w:cs="宋体"/>
                <w:b/>
                <w:bCs/>
                <w:snapToGrid/>
                <w:color w:val="auto"/>
                <w:kern w:val="2"/>
                <w:sz w:val="18"/>
                <w:szCs w:val="18"/>
                <w:lang w:val="en-US" w:eastAsia="zh-CN" w:bidi="ar-SA"/>
              </w:rPr>
              <w:t>(六)丰富政策解读形式。</w:t>
            </w:r>
          </w:p>
        </w:tc>
        <w:tc>
          <w:tcPr>
            <w:tcW w:w="6938" w:type="dxa"/>
            <w:noWrap w:val="0"/>
            <w:vAlign w:val="top"/>
          </w:tcPr>
          <w:p>
            <w:pPr>
              <w:pStyle w:val="2"/>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color w:val="auto"/>
                <w:kern w:val="2"/>
                <w:sz w:val="18"/>
                <w:szCs w:val="18"/>
                <w:lang w:val="en-US" w:eastAsia="zh-CN" w:bidi="ar-SA"/>
              </w:rPr>
              <w:t>对涉及面广、社会关注度高的法规政策和重大措施，各部门主要负责人应通过参加新闻发布会、接受访谈、发表文章等方式带头宣讲政策，传递权威信息，增进社会认同。同时运用图文图表、视频动画等形式开展线上解读，增强政策解读效果。</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区数字中心</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区政府各部门</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23</w:t>
            </w:r>
          </w:p>
        </w:tc>
        <w:tc>
          <w:tcPr>
            <w:tcW w:w="1458"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val="0"/>
                <w:bCs w:val="0"/>
                <w:snapToGrid/>
                <w:color w:val="auto"/>
                <w:kern w:val="2"/>
                <w:sz w:val="18"/>
                <w:szCs w:val="18"/>
                <w:lang w:val="en-US" w:eastAsia="zh-CN" w:bidi="ar-SA"/>
              </w:rPr>
            </w:pPr>
          </w:p>
        </w:tc>
        <w:tc>
          <w:tcPr>
            <w:tcW w:w="1815"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bCs/>
                <w:snapToGrid/>
                <w:color w:val="auto"/>
                <w:kern w:val="2"/>
                <w:sz w:val="18"/>
                <w:szCs w:val="18"/>
                <w:lang w:val="en-US" w:eastAsia="zh-CN" w:bidi="ar-SA"/>
              </w:rPr>
            </w:pPr>
          </w:p>
        </w:tc>
        <w:tc>
          <w:tcPr>
            <w:tcW w:w="6938" w:type="dxa"/>
            <w:noWrap w:val="0"/>
            <w:vAlign w:val="top"/>
          </w:tcPr>
          <w:p>
            <w:pPr>
              <w:pStyle w:val="2"/>
              <w:tabs>
                <w:tab w:val="left" w:pos="3283"/>
              </w:tabs>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color w:val="auto"/>
                <w:kern w:val="2"/>
                <w:sz w:val="18"/>
                <w:szCs w:val="18"/>
                <w:lang w:val="en-US" w:eastAsia="zh-CN" w:bidi="ar-SA"/>
              </w:rPr>
              <w:t>加强惠民利企政策宣讲辅导，组织相关职能部门联合进企业、进园区、进社区，开展系统性、针对性的专场政策解读，“组团式”送政策，提供“保姆式”咨询和办理服务，不断打通政策落地中的“肠梗阻”。</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区数字中心</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区政府各部门</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24</w:t>
            </w:r>
          </w:p>
        </w:tc>
        <w:tc>
          <w:tcPr>
            <w:tcW w:w="1458"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val="0"/>
                <w:bCs w:val="0"/>
                <w:snapToGrid/>
                <w:color w:val="auto"/>
                <w:kern w:val="2"/>
                <w:sz w:val="18"/>
                <w:szCs w:val="18"/>
                <w:lang w:val="en-US" w:eastAsia="zh-CN" w:bidi="ar-SA"/>
              </w:rPr>
            </w:pPr>
          </w:p>
        </w:tc>
        <w:tc>
          <w:tcPr>
            <w:tcW w:w="1815"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bCs/>
                <w:snapToGrid/>
                <w:color w:val="auto"/>
                <w:kern w:val="2"/>
                <w:sz w:val="18"/>
                <w:szCs w:val="18"/>
                <w:lang w:val="en-US" w:eastAsia="zh-CN" w:bidi="ar-SA"/>
              </w:rPr>
            </w:pPr>
          </w:p>
        </w:tc>
        <w:tc>
          <w:tcPr>
            <w:tcW w:w="6938" w:type="dxa"/>
            <w:noWrap w:val="0"/>
            <w:vAlign w:val="top"/>
          </w:tcPr>
          <w:p>
            <w:pPr>
              <w:pStyle w:val="2"/>
              <w:tabs>
                <w:tab w:val="left" w:pos="3283"/>
              </w:tabs>
              <w:ind w:left="0" w:leftChars="0" w:firstLine="360" w:firstLineChars="200"/>
              <w:jc w:val="both"/>
              <w:rPr>
                <w:rFonts w:hint="eastAsia" w:ascii="宋体" w:hAnsi="宋体" w:eastAsia="宋体" w:cs="宋体"/>
                <w:b w:val="0"/>
                <w:bCs w:val="0"/>
                <w:sz w:val="18"/>
                <w:szCs w:val="18"/>
              </w:rPr>
            </w:pPr>
            <w:r>
              <w:rPr>
                <w:rFonts w:hint="eastAsia" w:ascii="宋体" w:hAnsi="宋体" w:eastAsia="宋体" w:cs="宋体"/>
                <w:b w:val="0"/>
                <w:bCs w:val="0"/>
                <w:snapToGrid/>
                <w:color w:val="auto"/>
                <w:kern w:val="2"/>
                <w:sz w:val="18"/>
                <w:szCs w:val="18"/>
                <w:lang w:val="en-US" w:eastAsia="zh-CN" w:bidi="ar-SA"/>
              </w:rPr>
              <w:t>开展“政策解读局长（主任）谈”，以微视频形式，定期邀请区政府各部门主要负责人、街道主任就近三年来贯彻执行国家、省、市等上级某个具体文件情况进行解读，解读视频以特色专栏形式在门户网站、政务新媒体上推送。</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区政府办、区数字中心、区融媒体中心</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区政府各部门、各街道</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25</w:t>
            </w:r>
          </w:p>
        </w:tc>
        <w:tc>
          <w:tcPr>
            <w:tcW w:w="1458"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val="0"/>
                <w:bCs w:val="0"/>
                <w:snapToGrid/>
                <w:color w:val="auto"/>
                <w:kern w:val="2"/>
                <w:sz w:val="18"/>
                <w:szCs w:val="18"/>
                <w:lang w:val="en-US" w:eastAsia="zh-CN" w:bidi="ar-SA"/>
              </w:rPr>
            </w:pPr>
          </w:p>
        </w:tc>
        <w:tc>
          <w:tcPr>
            <w:tcW w:w="1815"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bCs/>
                <w:snapToGrid/>
                <w:color w:val="auto"/>
                <w:kern w:val="2"/>
                <w:sz w:val="18"/>
                <w:szCs w:val="18"/>
                <w:lang w:val="en-US" w:eastAsia="zh-CN" w:bidi="ar-SA"/>
              </w:rPr>
            </w:pPr>
          </w:p>
        </w:tc>
        <w:tc>
          <w:tcPr>
            <w:tcW w:w="6938" w:type="dxa"/>
            <w:noWrap w:val="0"/>
            <w:vAlign w:val="top"/>
          </w:tcPr>
          <w:p>
            <w:pPr>
              <w:pStyle w:val="2"/>
              <w:tabs>
                <w:tab w:val="left" w:pos="3283"/>
              </w:tabs>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color w:val="auto"/>
                <w:kern w:val="2"/>
                <w:sz w:val="18"/>
                <w:szCs w:val="18"/>
                <w:lang w:val="en-US" w:eastAsia="zh-CN" w:bidi="ar-SA"/>
              </w:rPr>
              <w:t>建设“政策问答知识库”特色专栏，对近三年来，区政府出台的对与企业和群众密切相关的政策文件，有关部门应提炼汇总常见问题解答，及时向区政府门户网站政策智能问答库推送。</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color w:val="000000"/>
                <w:kern w:val="0"/>
                <w:sz w:val="18"/>
                <w:szCs w:val="18"/>
                <w:lang w:val="en-US" w:eastAsia="zh-CN"/>
              </w:rPr>
              <w:t>区数字中心</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kern w:val="2"/>
                <w:sz w:val="18"/>
                <w:szCs w:val="18"/>
                <w:lang w:val="en-US" w:eastAsia="zh-CN" w:bidi="ar-SA"/>
              </w:rPr>
              <w:t>区政府各部门、各街道</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26</w:t>
            </w:r>
          </w:p>
        </w:tc>
        <w:tc>
          <w:tcPr>
            <w:tcW w:w="1458"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val="0"/>
                <w:bCs w:val="0"/>
                <w:color w:val="000000"/>
                <w:kern w:val="0"/>
                <w:sz w:val="18"/>
                <w:szCs w:val="18"/>
                <w:lang w:val="en-US" w:eastAsia="zh-CN"/>
              </w:rPr>
            </w:pPr>
          </w:p>
        </w:tc>
        <w:tc>
          <w:tcPr>
            <w:tcW w:w="1815"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bCs/>
                <w:color w:val="000000"/>
                <w:kern w:val="0"/>
                <w:sz w:val="18"/>
                <w:szCs w:val="18"/>
                <w:lang w:val="en-US" w:eastAsia="zh-CN"/>
              </w:rPr>
            </w:pPr>
          </w:p>
        </w:tc>
        <w:tc>
          <w:tcPr>
            <w:tcW w:w="6938" w:type="dxa"/>
            <w:noWrap w:val="0"/>
            <w:vAlign w:val="top"/>
          </w:tcPr>
          <w:p>
            <w:pPr>
              <w:pStyle w:val="2"/>
              <w:tabs>
                <w:tab w:val="left" w:pos="3283"/>
              </w:tabs>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color w:val="000000"/>
                <w:kern w:val="0"/>
                <w:sz w:val="18"/>
                <w:szCs w:val="18"/>
                <w:lang w:val="en-US" w:eastAsia="zh-CN"/>
              </w:rPr>
              <w:t>加强政策解答员队伍建设，区直各部门至少确定1名政策解答员，各街道至少安排1-2名政策解答员，相关名单和工作联系方式将于8月底前向社会公布。政策解答员加强业务学习，强化精准解读，回应群众期待。</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color w:val="000000"/>
                <w:kern w:val="0"/>
                <w:sz w:val="18"/>
                <w:szCs w:val="18"/>
                <w:lang w:val="en-US" w:eastAsia="zh-CN"/>
              </w:rPr>
              <w:t>区数字中心</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color w:val="000000"/>
                <w:kern w:val="0"/>
                <w:sz w:val="18"/>
                <w:szCs w:val="18"/>
                <w:lang w:val="en-US" w:eastAsia="zh-CN"/>
              </w:rPr>
              <w:t>区政府各部门、各街道</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27</w:t>
            </w:r>
          </w:p>
        </w:tc>
        <w:tc>
          <w:tcPr>
            <w:tcW w:w="1458"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val="0"/>
                <w:bCs w:val="0"/>
                <w:snapToGrid/>
                <w:color w:val="auto"/>
                <w:kern w:val="2"/>
                <w:sz w:val="18"/>
                <w:szCs w:val="18"/>
                <w:lang w:val="en-US" w:eastAsia="zh-CN" w:bidi="ar-SA"/>
              </w:rPr>
            </w:pPr>
          </w:p>
        </w:tc>
        <w:tc>
          <w:tcPr>
            <w:tcW w:w="1815" w:type="dxa"/>
            <w:noWrap w:val="0"/>
            <w:vAlign w:val="center"/>
          </w:tcPr>
          <w:p>
            <w:pPr>
              <w:pStyle w:val="2"/>
              <w:tabs>
                <w:tab w:val="left" w:pos="3283"/>
              </w:tabs>
              <w:ind w:left="0" w:leftChars="0" w:firstLine="0" w:firstLineChars="0"/>
              <w:jc w:val="center"/>
              <w:rPr>
                <w:rFonts w:hint="eastAsia" w:ascii="宋体" w:hAnsi="宋体" w:eastAsia="宋体" w:cs="宋体"/>
                <w:b/>
                <w:bCs/>
                <w:snapToGrid/>
                <w:color w:val="auto"/>
                <w:kern w:val="2"/>
                <w:sz w:val="18"/>
                <w:szCs w:val="18"/>
                <w:lang w:val="en-US" w:eastAsia="zh-CN" w:bidi="ar-SA"/>
              </w:rPr>
            </w:pPr>
            <w:r>
              <w:rPr>
                <w:rFonts w:hint="eastAsia" w:ascii="宋体" w:hAnsi="宋体" w:eastAsia="宋体" w:cs="宋体"/>
                <w:b/>
                <w:bCs/>
                <w:snapToGrid/>
                <w:color w:val="auto"/>
                <w:kern w:val="2"/>
                <w:sz w:val="18"/>
                <w:szCs w:val="18"/>
                <w:lang w:val="en-US" w:eastAsia="zh-CN" w:bidi="ar-SA"/>
              </w:rPr>
              <w:t>(七)增强回应关切效果。</w:t>
            </w:r>
          </w:p>
        </w:tc>
        <w:tc>
          <w:tcPr>
            <w:tcW w:w="6938" w:type="dxa"/>
            <w:noWrap w:val="0"/>
            <w:vAlign w:val="top"/>
          </w:tcPr>
          <w:p>
            <w:pPr>
              <w:pStyle w:val="2"/>
              <w:tabs>
                <w:tab w:val="left" w:pos="3283"/>
              </w:tabs>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color w:val="auto"/>
                <w:kern w:val="2"/>
                <w:sz w:val="18"/>
                <w:szCs w:val="18"/>
                <w:lang w:val="en-US" w:eastAsia="zh-CN" w:bidi="ar-SA"/>
              </w:rPr>
              <w:t>加强对政策发布及实施情况的舆情监测，了解掌握社会公众对政策执行效果的反馈与评价，主动回应存在的共性问题，助力政策完善。密切关注涉及房地产金融、工资拖欠、环境污染和生态破坏、食品药品安全、教育医疗养老、安全生产、困难群众生活等方面的舆情，加强风险研判，妥善应对处置，以解决舆情背后实际问题的具体举措实质性回应社会关切，助力防范化解重大风险。加强政务舆情回应台账管理，认真核查已作出的承诺落实及公开情况，切实维护政府公信力。</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区政府办、区数字中心</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区政府各部门、各街道</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8"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28</w:t>
            </w:r>
          </w:p>
        </w:tc>
        <w:tc>
          <w:tcPr>
            <w:tcW w:w="1458"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val="0"/>
                <w:bCs w:val="0"/>
                <w:snapToGrid/>
                <w:color w:val="auto"/>
                <w:kern w:val="2"/>
                <w:sz w:val="18"/>
                <w:szCs w:val="18"/>
                <w:lang w:val="en-US" w:eastAsia="zh-CN" w:bidi="ar-SA"/>
              </w:rPr>
            </w:pPr>
          </w:p>
        </w:tc>
        <w:tc>
          <w:tcPr>
            <w:tcW w:w="1815" w:type="dxa"/>
            <w:noWrap w:val="0"/>
            <w:vAlign w:val="center"/>
          </w:tcPr>
          <w:p>
            <w:pPr>
              <w:pStyle w:val="2"/>
              <w:tabs>
                <w:tab w:val="left" w:pos="3283"/>
              </w:tabs>
              <w:ind w:left="0" w:leftChars="0" w:firstLine="0" w:firstLineChars="0"/>
              <w:jc w:val="center"/>
              <w:rPr>
                <w:rFonts w:hint="eastAsia" w:ascii="宋体" w:hAnsi="宋体" w:eastAsia="宋体" w:cs="宋体"/>
                <w:b/>
                <w:bCs/>
                <w:snapToGrid/>
                <w:color w:val="auto"/>
                <w:kern w:val="2"/>
                <w:sz w:val="18"/>
                <w:szCs w:val="18"/>
                <w:lang w:val="en-US" w:eastAsia="zh-CN" w:bidi="ar-SA"/>
              </w:rPr>
            </w:pPr>
            <w:r>
              <w:rPr>
                <w:rFonts w:hint="eastAsia" w:ascii="宋体" w:hAnsi="宋体" w:eastAsia="宋体" w:cs="宋体"/>
                <w:b/>
                <w:bCs/>
                <w:snapToGrid/>
                <w:color w:val="auto"/>
                <w:kern w:val="2"/>
                <w:sz w:val="18"/>
                <w:szCs w:val="18"/>
                <w:lang w:val="en-US" w:eastAsia="zh-CN" w:bidi="ar-SA"/>
              </w:rPr>
              <w:t>(八)切实加强政务信息管理。</w:t>
            </w:r>
          </w:p>
        </w:tc>
        <w:tc>
          <w:tcPr>
            <w:tcW w:w="6938" w:type="dxa"/>
            <w:noWrap w:val="0"/>
            <w:vAlign w:val="top"/>
          </w:tcPr>
          <w:p>
            <w:pPr>
              <w:pStyle w:val="2"/>
              <w:tabs>
                <w:tab w:val="left" w:pos="3283"/>
              </w:tabs>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color w:val="auto"/>
                <w:kern w:val="2"/>
                <w:sz w:val="18"/>
                <w:szCs w:val="18"/>
                <w:lang w:val="en-US" w:eastAsia="zh-CN" w:bidi="ar-SA"/>
              </w:rPr>
              <w:t>健全完善政府规章动态更新工作机制，高质量发布现行有效规章正式版本，与国家规章库实现数据同源。2023年10月底前，各部门完成行政规范性文件系统清理工作，将现行有效行政规范性文件在政府门户网站政府信息公开专栏集中公开并动态更新，做到底数清晰、内容全面、便于获取。</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区司法局</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区政府各部门、各街道</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29</w:t>
            </w:r>
          </w:p>
        </w:tc>
        <w:tc>
          <w:tcPr>
            <w:tcW w:w="1458" w:type="dxa"/>
            <w:vMerge w:val="restart"/>
            <w:noWrap w:val="0"/>
            <w:vAlign w:val="center"/>
          </w:tcPr>
          <w:p>
            <w:pPr>
              <w:spacing w:line="576" w:lineRule="exact"/>
              <w:ind w:firstLine="360" w:firstLineChars="200"/>
              <w:jc w:val="center"/>
              <w:rPr>
                <w:rFonts w:hint="eastAsia" w:ascii="宋体" w:hAnsi="宋体" w:eastAsia="宋体" w:cs="宋体"/>
                <w:b/>
                <w:bCs/>
                <w:snapToGrid/>
                <w:kern w:val="2"/>
                <w:sz w:val="18"/>
                <w:szCs w:val="18"/>
                <w:lang w:val="en-US" w:eastAsia="zh-CN" w:bidi="ar-SA"/>
              </w:rPr>
            </w:pPr>
          </w:p>
          <w:p>
            <w:pPr>
              <w:spacing w:line="576" w:lineRule="exact"/>
              <w:ind w:firstLine="360" w:firstLineChars="200"/>
              <w:jc w:val="center"/>
              <w:rPr>
                <w:rFonts w:hint="eastAsia" w:ascii="宋体" w:hAnsi="宋体" w:eastAsia="宋体" w:cs="宋体"/>
                <w:b/>
                <w:bCs/>
                <w:snapToGrid/>
                <w:kern w:val="2"/>
                <w:sz w:val="18"/>
                <w:szCs w:val="18"/>
                <w:lang w:val="en-US" w:eastAsia="zh-CN" w:bidi="ar-SA"/>
              </w:rPr>
            </w:pPr>
          </w:p>
          <w:p>
            <w:pPr>
              <w:spacing w:line="576" w:lineRule="exact"/>
              <w:ind w:firstLine="360" w:firstLineChars="200"/>
              <w:jc w:val="center"/>
              <w:rPr>
                <w:rFonts w:hint="eastAsia" w:ascii="宋体" w:hAnsi="宋体" w:eastAsia="宋体" w:cs="宋体"/>
                <w:b/>
                <w:bCs/>
                <w:snapToGrid/>
                <w:kern w:val="2"/>
                <w:sz w:val="18"/>
                <w:szCs w:val="18"/>
                <w:lang w:val="en-US" w:eastAsia="zh-CN" w:bidi="ar-SA"/>
              </w:rPr>
            </w:pPr>
          </w:p>
          <w:p>
            <w:pPr>
              <w:spacing w:line="576" w:lineRule="exact"/>
              <w:jc w:val="center"/>
              <w:rPr>
                <w:rFonts w:hint="eastAsia" w:ascii="宋体" w:hAnsi="宋体" w:eastAsia="宋体" w:cs="宋体"/>
                <w:b/>
                <w:bCs/>
                <w:snapToGrid/>
                <w:kern w:val="2"/>
                <w:sz w:val="18"/>
                <w:szCs w:val="18"/>
                <w:lang w:val="en-US" w:eastAsia="zh-CN" w:bidi="ar-SA"/>
              </w:rPr>
            </w:pPr>
            <w:r>
              <w:rPr>
                <w:rFonts w:hint="eastAsia" w:ascii="宋体" w:hAnsi="宋体" w:eastAsia="宋体" w:cs="宋体"/>
                <w:b/>
                <w:bCs/>
                <w:snapToGrid/>
                <w:kern w:val="2"/>
                <w:sz w:val="18"/>
                <w:szCs w:val="18"/>
                <w:lang w:val="en-US" w:eastAsia="zh-CN" w:bidi="ar-SA"/>
              </w:rPr>
              <w:t>三、夯实工作基础，推动规范公开</w:t>
            </w:r>
          </w:p>
          <w:p>
            <w:pPr>
              <w:pStyle w:val="2"/>
              <w:tabs>
                <w:tab w:val="left" w:pos="3283"/>
              </w:tabs>
              <w:ind w:left="0" w:leftChars="0" w:firstLine="360" w:firstLineChars="200"/>
              <w:jc w:val="center"/>
              <w:rPr>
                <w:rFonts w:hint="eastAsia" w:ascii="宋体" w:hAnsi="宋体" w:eastAsia="宋体" w:cs="宋体"/>
                <w:b/>
                <w:bCs/>
                <w:snapToGrid/>
                <w:kern w:val="2"/>
                <w:sz w:val="18"/>
                <w:szCs w:val="18"/>
                <w:lang w:val="en-US" w:eastAsia="zh-CN" w:bidi="ar-SA"/>
              </w:rPr>
            </w:pPr>
          </w:p>
        </w:tc>
        <w:tc>
          <w:tcPr>
            <w:tcW w:w="1815" w:type="dxa"/>
            <w:noWrap w:val="0"/>
            <w:vAlign w:val="center"/>
          </w:tcPr>
          <w:p>
            <w:pPr>
              <w:pStyle w:val="2"/>
              <w:tabs>
                <w:tab w:val="left" w:pos="3283"/>
              </w:tabs>
              <w:ind w:left="0" w:leftChars="0" w:firstLine="0" w:firstLineChars="0"/>
              <w:jc w:val="center"/>
              <w:rPr>
                <w:rFonts w:hint="eastAsia" w:ascii="宋体" w:hAnsi="宋体" w:eastAsia="宋体" w:cs="宋体"/>
                <w:b/>
                <w:bCs/>
                <w:snapToGrid/>
                <w:kern w:val="2"/>
                <w:sz w:val="18"/>
                <w:szCs w:val="18"/>
                <w:lang w:val="en-US" w:eastAsia="zh-CN" w:bidi="ar-SA"/>
              </w:rPr>
            </w:pPr>
            <w:r>
              <w:rPr>
                <w:rFonts w:hint="eastAsia" w:ascii="宋体" w:hAnsi="宋体" w:eastAsia="宋体" w:cs="宋体"/>
                <w:b/>
                <w:bCs/>
                <w:snapToGrid/>
                <w:kern w:val="2"/>
                <w:sz w:val="18"/>
                <w:szCs w:val="18"/>
                <w:lang w:val="en-US" w:eastAsia="zh-CN" w:bidi="ar-SA"/>
              </w:rPr>
              <w:t>(九)持续推进基层政务公开标准化规范化建设。</w:t>
            </w:r>
          </w:p>
        </w:tc>
        <w:tc>
          <w:tcPr>
            <w:tcW w:w="6938" w:type="dxa"/>
            <w:noWrap w:val="0"/>
            <w:vAlign w:val="top"/>
          </w:tcPr>
          <w:p>
            <w:pPr>
              <w:pStyle w:val="2"/>
              <w:tabs>
                <w:tab w:val="left" w:pos="3283"/>
              </w:tabs>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kern w:val="2"/>
                <w:sz w:val="18"/>
                <w:szCs w:val="18"/>
                <w:lang w:val="en-US" w:eastAsia="zh-CN" w:bidi="ar-SA"/>
              </w:rPr>
              <w:t>充分总结运用好第一批人民路街道“十县百乡”省级示范点创建成果基础，继续申报第二批基层政务公开标准化规范化街道，区、街、社区（村）三级同步联动，以点带面，整体推进，在全区各个街道及所有社区（村）实现全覆盖，推</w:t>
            </w:r>
            <w:r>
              <w:rPr>
                <w:rFonts w:hint="eastAsia" w:ascii="宋体" w:hAnsi="宋体" w:eastAsia="宋体" w:cs="宋体"/>
                <w:b w:val="0"/>
                <w:bCs w:val="0"/>
                <w:snapToGrid/>
                <w:color w:val="auto"/>
                <w:kern w:val="2"/>
                <w:sz w:val="18"/>
                <w:szCs w:val="18"/>
                <w:lang w:val="en-US" w:eastAsia="zh-CN" w:bidi="ar-SA"/>
              </w:rPr>
              <w:t>进我区基层政务公开标准化规范化建设工作走在全市、乃至全省前列。开展民生领域全流程开公开和征地信息公开试点工作。</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color w:val="auto"/>
                <w:kern w:val="2"/>
                <w:sz w:val="18"/>
                <w:szCs w:val="18"/>
                <w:lang w:val="en-US" w:eastAsia="zh-CN" w:bidi="ar-SA"/>
              </w:rPr>
              <w:t>区政府办、</w:t>
            </w:r>
            <w:r>
              <w:rPr>
                <w:rFonts w:hint="eastAsia" w:ascii="宋体" w:hAnsi="宋体" w:eastAsia="宋体" w:cs="宋体"/>
                <w:b w:val="0"/>
                <w:bCs w:val="0"/>
                <w:snapToGrid/>
                <w:kern w:val="2"/>
                <w:sz w:val="18"/>
                <w:szCs w:val="18"/>
                <w:lang w:val="en-US" w:eastAsia="zh-CN" w:bidi="ar-SA"/>
              </w:rPr>
              <w:t>区数字中心</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kern w:val="2"/>
                <w:sz w:val="18"/>
                <w:szCs w:val="18"/>
                <w:lang w:val="en-US" w:eastAsia="zh-CN" w:bidi="ar-SA"/>
              </w:rPr>
              <w:t>各街道</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30</w:t>
            </w:r>
          </w:p>
        </w:tc>
        <w:tc>
          <w:tcPr>
            <w:tcW w:w="1458"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val="0"/>
                <w:bCs w:val="0"/>
                <w:snapToGrid/>
                <w:kern w:val="2"/>
                <w:sz w:val="18"/>
                <w:szCs w:val="18"/>
                <w:lang w:val="en-US" w:eastAsia="zh-CN" w:bidi="ar-SA"/>
              </w:rPr>
            </w:pPr>
          </w:p>
        </w:tc>
        <w:tc>
          <w:tcPr>
            <w:tcW w:w="1815" w:type="dxa"/>
            <w:noWrap w:val="0"/>
            <w:vAlign w:val="center"/>
          </w:tcPr>
          <w:p>
            <w:pPr>
              <w:pStyle w:val="2"/>
              <w:tabs>
                <w:tab w:val="left" w:pos="3283"/>
              </w:tabs>
              <w:ind w:left="0" w:leftChars="0" w:firstLine="0" w:firstLineChars="0"/>
              <w:jc w:val="center"/>
              <w:rPr>
                <w:rFonts w:hint="eastAsia" w:ascii="宋体" w:hAnsi="宋体" w:eastAsia="宋体" w:cs="宋体"/>
                <w:b/>
                <w:bCs/>
                <w:snapToGrid/>
                <w:kern w:val="2"/>
                <w:sz w:val="18"/>
                <w:szCs w:val="18"/>
                <w:lang w:val="en-US" w:eastAsia="zh-CN" w:bidi="ar-SA"/>
              </w:rPr>
            </w:pPr>
            <w:r>
              <w:rPr>
                <w:rFonts w:hint="eastAsia" w:ascii="宋体" w:hAnsi="宋体" w:eastAsia="宋体" w:cs="宋体"/>
                <w:b/>
                <w:bCs/>
                <w:snapToGrid/>
                <w:kern w:val="2"/>
                <w:sz w:val="18"/>
                <w:szCs w:val="18"/>
                <w:lang w:val="en-US" w:eastAsia="zh-CN" w:bidi="ar-SA"/>
              </w:rPr>
              <w:t>（十）持续推进政务开放参与。</w:t>
            </w:r>
          </w:p>
        </w:tc>
        <w:tc>
          <w:tcPr>
            <w:tcW w:w="6938" w:type="dxa"/>
            <w:noWrap w:val="0"/>
            <w:vAlign w:val="top"/>
          </w:tcPr>
          <w:p>
            <w:pPr>
              <w:pStyle w:val="2"/>
              <w:tabs>
                <w:tab w:val="left" w:pos="3283"/>
              </w:tabs>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kern w:val="2"/>
                <w:sz w:val="18"/>
                <w:szCs w:val="18"/>
                <w:lang w:val="en-US" w:eastAsia="zh-CN" w:bidi="ar-SA"/>
              </w:rPr>
              <w:t>推进邀请社会公众代表列席政府会议工作。常态化开展“政府开放日”主题活动，围绕优化营商环境、法治政府建设、民生关注热点等方面，通过座谈交流、实地参观等多种形式，邀请企业、群众走进政府机构，体验政府工作。充分运用领导信箱、热线电话、网上留言等渠道加强政民互动，提高回复时效，强化结果分析应用。做好政府网转办留言办理工作，压实工作责任，严格办理时限，提升回复质量。</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color w:val="000000"/>
                <w:kern w:val="0"/>
                <w:sz w:val="18"/>
                <w:szCs w:val="18"/>
                <w:lang w:val="en-US" w:eastAsia="zh-CN"/>
              </w:rPr>
              <w:t>区政府办</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kern w:val="2"/>
                <w:sz w:val="18"/>
                <w:szCs w:val="18"/>
                <w:lang w:val="en-US" w:eastAsia="zh-CN" w:bidi="ar-SA"/>
              </w:rPr>
              <w:t>区政府各部门、各街道</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31</w:t>
            </w:r>
          </w:p>
        </w:tc>
        <w:tc>
          <w:tcPr>
            <w:tcW w:w="1458"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val="0"/>
                <w:bCs w:val="0"/>
                <w:snapToGrid/>
                <w:kern w:val="2"/>
                <w:sz w:val="18"/>
                <w:szCs w:val="18"/>
                <w:lang w:val="en-US" w:eastAsia="zh-CN" w:bidi="ar-SA"/>
              </w:rPr>
            </w:pPr>
          </w:p>
        </w:tc>
        <w:tc>
          <w:tcPr>
            <w:tcW w:w="1815" w:type="dxa"/>
            <w:noWrap w:val="0"/>
            <w:vAlign w:val="center"/>
          </w:tcPr>
          <w:p>
            <w:pPr>
              <w:pStyle w:val="2"/>
              <w:tabs>
                <w:tab w:val="left" w:pos="3283"/>
              </w:tabs>
              <w:ind w:left="0" w:leftChars="0" w:firstLine="0" w:firstLineChars="0"/>
              <w:jc w:val="center"/>
              <w:rPr>
                <w:rFonts w:hint="eastAsia" w:ascii="宋体" w:hAnsi="宋体" w:eastAsia="宋体" w:cs="宋体"/>
                <w:b/>
                <w:bCs/>
                <w:snapToGrid/>
                <w:kern w:val="2"/>
                <w:sz w:val="18"/>
                <w:szCs w:val="18"/>
                <w:lang w:val="en-US" w:eastAsia="zh-CN" w:bidi="ar-SA"/>
              </w:rPr>
            </w:pPr>
            <w:r>
              <w:rPr>
                <w:rFonts w:hint="eastAsia" w:ascii="宋体" w:hAnsi="宋体" w:eastAsia="宋体" w:cs="宋体"/>
                <w:b/>
                <w:bCs/>
                <w:snapToGrid/>
                <w:kern w:val="2"/>
                <w:sz w:val="18"/>
                <w:szCs w:val="18"/>
                <w:lang w:val="en-US" w:eastAsia="zh-CN" w:bidi="ar-SA"/>
              </w:rPr>
              <w:t>(十一)依法稳妥做好依申请公开。</w:t>
            </w:r>
          </w:p>
        </w:tc>
        <w:tc>
          <w:tcPr>
            <w:tcW w:w="6938" w:type="dxa"/>
            <w:noWrap w:val="0"/>
            <w:vAlign w:val="top"/>
          </w:tcPr>
          <w:p>
            <w:pPr>
              <w:pStyle w:val="2"/>
              <w:tabs>
                <w:tab w:val="left" w:pos="3283"/>
              </w:tabs>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kern w:val="2"/>
                <w:sz w:val="18"/>
                <w:szCs w:val="18"/>
                <w:lang w:val="en-US" w:eastAsia="zh-CN" w:bidi="ar-SA"/>
              </w:rPr>
              <w:t>完善依申请公开渠道，优化办理流程，提高答复质量。注重与申请人沟通交流，全面准确了解信息需求，强化咨询引导服务，在本单位职责范围内帮助解决政府信息公开申请背后可能存在的现实问题。充分发挥政府法律顾问、公职律师作用，加强依申请公开答复的合法性审查，降低争议发生率、被纠错败诉率。做好公文属性动态调整，推动依申请公开向主动公开转化。畅通政府信息公开联系电话，加强对政策咨询类的来电回复。</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color w:val="000000"/>
                <w:kern w:val="0"/>
                <w:sz w:val="18"/>
                <w:szCs w:val="18"/>
                <w:lang w:val="en-US" w:eastAsia="zh-CN"/>
              </w:rPr>
              <w:t>区政府办、区数字中心</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kern w:val="2"/>
                <w:sz w:val="18"/>
                <w:szCs w:val="18"/>
                <w:lang w:val="en-US" w:eastAsia="zh-CN" w:bidi="ar-SA"/>
              </w:rPr>
              <w:t>区政府各部门、各街道</w:t>
            </w:r>
          </w:p>
        </w:tc>
        <w:tc>
          <w:tcPr>
            <w:tcW w:w="503" w:type="dxa"/>
            <w:noWrap w:val="0"/>
            <w:vAlign w:val="center"/>
          </w:tcPr>
          <w:p>
            <w:pPr>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32</w:t>
            </w:r>
          </w:p>
        </w:tc>
        <w:tc>
          <w:tcPr>
            <w:tcW w:w="1458"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val="0"/>
                <w:bCs w:val="0"/>
                <w:snapToGrid/>
                <w:kern w:val="2"/>
                <w:sz w:val="18"/>
                <w:szCs w:val="18"/>
                <w:lang w:val="en-US" w:eastAsia="zh-CN" w:bidi="ar-SA"/>
              </w:rPr>
            </w:pPr>
          </w:p>
        </w:tc>
        <w:tc>
          <w:tcPr>
            <w:tcW w:w="1815" w:type="dxa"/>
            <w:noWrap w:val="0"/>
            <w:vAlign w:val="center"/>
          </w:tcPr>
          <w:p>
            <w:pPr>
              <w:pStyle w:val="2"/>
              <w:tabs>
                <w:tab w:val="left" w:pos="3283"/>
              </w:tabs>
              <w:ind w:left="0" w:leftChars="0" w:firstLine="0" w:firstLineChars="0"/>
              <w:jc w:val="center"/>
              <w:rPr>
                <w:rFonts w:hint="eastAsia" w:ascii="宋体" w:hAnsi="宋体" w:eastAsia="宋体" w:cs="宋体"/>
                <w:b/>
                <w:bCs/>
                <w:snapToGrid/>
                <w:kern w:val="2"/>
                <w:sz w:val="18"/>
                <w:szCs w:val="18"/>
                <w:lang w:val="en-US" w:eastAsia="zh-CN" w:bidi="ar-SA"/>
              </w:rPr>
            </w:pPr>
            <w:r>
              <w:rPr>
                <w:rFonts w:hint="eastAsia" w:ascii="宋体" w:hAnsi="宋体" w:eastAsia="宋体" w:cs="宋体"/>
                <w:b/>
                <w:bCs/>
                <w:snapToGrid/>
                <w:kern w:val="2"/>
                <w:sz w:val="18"/>
                <w:szCs w:val="18"/>
                <w:lang w:val="en-US" w:eastAsia="zh-CN" w:bidi="ar-SA"/>
              </w:rPr>
              <w:t>(十二)规范政府网站与政务新媒体建设管理。</w:t>
            </w:r>
          </w:p>
        </w:tc>
        <w:tc>
          <w:tcPr>
            <w:tcW w:w="6938" w:type="dxa"/>
            <w:noWrap w:val="0"/>
            <w:vAlign w:val="top"/>
          </w:tcPr>
          <w:p>
            <w:pPr>
              <w:pStyle w:val="2"/>
              <w:tabs>
                <w:tab w:val="left" w:pos="3283"/>
              </w:tabs>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kern w:val="2"/>
                <w:sz w:val="18"/>
                <w:szCs w:val="18"/>
                <w:lang w:val="en-US" w:eastAsia="zh-CN" w:bidi="ar-SA"/>
              </w:rPr>
              <w:t>严格落实网络意识形态责任制，加大政府网站与政府系统政务新媒体内容建设、监测检查和安全防护力度，确保安全平稳运行。全面完成政府网站IPv6 改造工作,二、三级链接支持度达99%以上。深入推进政府网站集约化建设，探索集约化在政策发布数字化转型、互动回应、辅助决策等方面的创新应用。定期开展全区政府系统政务新媒体评选活动，营造争先创优氛围。开展政务新媒体、微信工作群巡查整治，规范网络投票、点赞打卡等行为，杜绝“指尖上的形式主义”。</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color w:val="000000"/>
                <w:kern w:val="0"/>
                <w:sz w:val="18"/>
                <w:szCs w:val="18"/>
                <w:lang w:val="en-US" w:eastAsia="zh-CN"/>
              </w:rPr>
              <w:t>区数字中心</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napToGrid/>
                <w:kern w:val="2"/>
                <w:sz w:val="18"/>
                <w:szCs w:val="18"/>
                <w:lang w:val="en-US" w:eastAsia="zh-CN" w:bidi="ar-SA"/>
              </w:rPr>
              <w:t>区政府各部门、各街道</w:t>
            </w:r>
          </w:p>
        </w:tc>
        <w:tc>
          <w:tcPr>
            <w:tcW w:w="503"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431" w:type="dxa"/>
            <w:noWrap w:val="0"/>
            <w:vAlign w:val="center"/>
          </w:tcPr>
          <w:p>
            <w:pPr>
              <w:pStyle w:val="2"/>
              <w:ind w:left="0" w:leftChars="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33</w:t>
            </w:r>
          </w:p>
        </w:tc>
        <w:tc>
          <w:tcPr>
            <w:tcW w:w="1458" w:type="dxa"/>
            <w:vMerge w:val="continue"/>
            <w:noWrap w:val="0"/>
            <w:vAlign w:val="center"/>
          </w:tcPr>
          <w:p>
            <w:pPr>
              <w:pStyle w:val="2"/>
              <w:tabs>
                <w:tab w:val="left" w:pos="3283"/>
              </w:tabs>
              <w:ind w:left="0" w:leftChars="0" w:firstLine="360" w:firstLineChars="200"/>
              <w:jc w:val="center"/>
              <w:rPr>
                <w:rFonts w:hint="eastAsia" w:ascii="宋体" w:hAnsi="宋体" w:eastAsia="宋体" w:cs="宋体"/>
                <w:b w:val="0"/>
                <w:bCs w:val="0"/>
                <w:snapToGrid/>
                <w:kern w:val="2"/>
                <w:sz w:val="18"/>
                <w:szCs w:val="18"/>
                <w:lang w:val="en-US" w:eastAsia="zh-CN" w:bidi="ar-SA"/>
              </w:rPr>
            </w:pPr>
          </w:p>
        </w:tc>
        <w:tc>
          <w:tcPr>
            <w:tcW w:w="1815" w:type="dxa"/>
            <w:noWrap w:val="0"/>
            <w:vAlign w:val="center"/>
          </w:tcPr>
          <w:p>
            <w:pPr>
              <w:pStyle w:val="2"/>
              <w:tabs>
                <w:tab w:val="left" w:pos="3283"/>
              </w:tabs>
              <w:ind w:left="0" w:leftChars="0" w:firstLine="0" w:firstLineChars="0"/>
              <w:jc w:val="center"/>
              <w:rPr>
                <w:rFonts w:hint="eastAsia" w:ascii="宋体" w:hAnsi="宋体" w:eastAsia="宋体" w:cs="宋体"/>
                <w:b/>
                <w:bCs/>
                <w:snapToGrid/>
                <w:kern w:val="2"/>
                <w:sz w:val="18"/>
                <w:szCs w:val="18"/>
                <w:lang w:val="en-US" w:eastAsia="zh-CN" w:bidi="ar-SA"/>
              </w:rPr>
            </w:pPr>
            <w:r>
              <w:rPr>
                <w:rFonts w:hint="eastAsia" w:ascii="宋体" w:hAnsi="宋体" w:eastAsia="宋体" w:cs="宋体"/>
                <w:b/>
                <w:bCs/>
                <w:snapToGrid/>
                <w:kern w:val="2"/>
                <w:sz w:val="18"/>
                <w:szCs w:val="18"/>
                <w:lang w:val="en-US" w:eastAsia="zh-CN" w:bidi="ar-SA"/>
              </w:rPr>
              <w:t>(十三)办好政务公开专区。</w:t>
            </w:r>
          </w:p>
        </w:tc>
        <w:tc>
          <w:tcPr>
            <w:tcW w:w="6938" w:type="dxa"/>
            <w:noWrap w:val="0"/>
            <w:vAlign w:val="top"/>
          </w:tcPr>
          <w:p>
            <w:pPr>
              <w:pStyle w:val="2"/>
              <w:tabs>
                <w:tab w:val="left" w:pos="3283"/>
              </w:tabs>
              <w:ind w:left="0" w:leftChars="0" w:firstLine="360" w:firstLineChars="200"/>
              <w:jc w:val="both"/>
              <w:rPr>
                <w:rFonts w:hint="eastAsia" w:ascii="宋体" w:hAnsi="宋体" w:eastAsia="宋体" w:cs="宋体"/>
                <w:b w:val="0"/>
                <w:bCs w:val="0"/>
                <w:color w:val="333333"/>
                <w:sz w:val="18"/>
                <w:szCs w:val="18"/>
              </w:rPr>
            </w:pPr>
            <w:r>
              <w:rPr>
                <w:rFonts w:hint="eastAsia" w:ascii="宋体" w:hAnsi="宋体" w:eastAsia="宋体" w:cs="宋体"/>
                <w:b w:val="0"/>
                <w:bCs w:val="0"/>
                <w:snapToGrid/>
                <w:kern w:val="2"/>
                <w:sz w:val="18"/>
                <w:szCs w:val="18"/>
                <w:lang w:val="en-US" w:eastAsia="zh-CN" w:bidi="ar-SA"/>
              </w:rPr>
              <w:t>加强区、街两级政务公开专区建设，完善信息查阅、政府信息申请、政务自助办理、互动展示功能，增加重要政策现场解读、综合政策辅导、办事流程演示等服务。设立政策咨询窗口，提高政策咨询服务水平，围绕人民群众密切关注的就学、就医、就业、创业、养老及纳税等问题，进行现场解答，提高政策咨询服务水平和实效。探索开展区本级掌上政务公开专区标准化建设。</w:t>
            </w:r>
          </w:p>
        </w:tc>
        <w:tc>
          <w:tcPr>
            <w:tcW w:w="1302"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color w:val="000000"/>
                <w:kern w:val="0"/>
                <w:sz w:val="18"/>
                <w:szCs w:val="18"/>
                <w:lang w:val="en-US" w:eastAsia="zh-CN"/>
              </w:rPr>
              <w:t>区数字中心</w:t>
            </w:r>
          </w:p>
        </w:tc>
        <w:tc>
          <w:tcPr>
            <w:tcW w:w="1727"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color w:val="000000"/>
                <w:kern w:val="0"/>
                <w:sz w:val="18"/>
                <w:szCs w:val="18"/>
                <w:lang w:val="en-US" w:eastAsia="zh-CN"/>
              </w:rPr>
              <w:t>区数字中心、</w:t>
            </w:r>
            <w:r>
              <w:rPr>
                <w:rFonts w:hint="eastAsia" w:ascii="宋体" w:hAnsi="宋体" w:eastAsia="宋体" w:cs="宋体"/>
                <w:b w:val="0"/>
                <w:bCs w:val="0"/>
                <w:snapToGrid/>
                <w:kern w:val="2"/>
                <w:sz w:val="18"/>
                <w:szCs w:val="18"/>
                <w:lang w:val="en-US" w:eastAsia="zh-CN" w:bidi="ar-SA"/>
              </w:rPr>
              <w:t>各街道</w:t>
            </w:r>
          </w:p>
        </w:tc>
        <w:tc>
          <w:tcPr>
            <w:tcW w:w="503" w:type="dxa"/>
            <w:noWrap w:val="0"/>
            <w:vAlign w:val="center"/>
          </w:tcPr>
          <w:p>
            <w:pPr>
              <w:pStyle w:val="2"/>
              <w:ind w:left="0" w:leftChars="0"/>
              <w:jc w:val="center"/>
              <w:rPr>
                <w:rFonts w:hint="eastAsia" w:ascii="宋体" w:hAnsi="宋体" w:eastAsia="宋体" w:cs="宋体"/>
                <w:b w:val="0"/>
                <w:bCs w:val="0"/>
                <w:color w:val="000000"/>
                <w:sz w:val="18"/>
                <w:szCs w:val="18"/>
                <w:shd w:val="clear" w:color="auto" w:fill="FFFFFF"/>
              </w:rPr>
            </w:pPr>
            <w:r>
              <w:rPr>
                <w:rFonts w:hint="eastAsia" w:ascii="宋体" w:hAnsi="宋体" w:eastAsia="宋体" w:cs="宋体"/>
                <w:b w:val="0"/>
                <w:bCs w:val="0"/>
                <w:sz w:val="18"/>
                <w:szCs w:val="18"/>
                <w:lang w:val="en-US" w:eastAsia="zh-CN"/>
              </w:rPr>
              <w:t>长期工作</w:t>
            </w:r>
          </w:p>
        </w:tc>
      </w:tr>
    </w:tbl>
    <w:p>
      <w:pPr>
        <w:jc w:val="center"/>
        <w:rPr>
          <w:rFonts w:hint="default" w:ascii="方正小标宋简体" w:hAnsi="方正小标宋简体" w:eastAsia="方正小标宋简体" w:cs="方正小标宋简体"/>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华文新魏">
    <w:altName w:val="汉仪书宋二KW"/>
    <w:panose1 w:val="02010800040101010101"/>
    <w:charset w:val="86"/>
    <w:family w:val="auto"/>
    <w:pitch w:val="default"/>
    <w:sig w:usb0="00000000" w:usb1="00000000" w:usb2="0000000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M2VhNmMwOTdkY2I0NjcxZTczYWFlYzFkN2VlZTQifQ=="/>
  </w:docVars>
  <w:rsids>
    <w:rsidRoot w:val="48432520"/>
    <w:rsid w:val="00627E6B"/>
    <w:rsid w:val="02B20C36"/>
    <w:rsid w:val="073C7668"/>
    <w:rsid w:val="07A31495"/>
    <w:rsid w:val="19E020D4"/>
    <w:rsid w:val="26F31699"/>
    <w:rsid w:val="27765E26"/>
    <w:rsid w:val="27856069"/>
    <w:rsid w:val="2ABF3B4D"/>
    <w:rsid w:val="305E56A9"/>
    <w:rsid w:val="318A2BFA"/>
    <w:rsid w:val="37B7349A"/>
    <w:rsid w:val="37E1109A"/>
    <w:rsid w:val="3982065B"/>
    <w:rsid w:val="3C85293C"/>
    <w:rsid w:val="3FDF9DB0"/>
    <w:rsid w:val="40905D53"/>
    <w:rsid w:val="42FC76D0"/>
    <w:rsid w:val="47DB3D58"/>
    <w:rsid w:val="47E32C0C"/>
    <w:rsid w:val="48432520"/>
    <w:rsid w:val="49AB1508"/>
    <w:rsid w:val="4B887D52"/>
    <w:rsid w:val="4D5F4AE3"/>
    <w:rsid w:val="52A35472"/>
    <w:rsid w:val="5F97010C"/>
    <w:rsid w:val="608F7035"/>
    <w:rsid w:val="647E7AED"/>
    <w:rsid w:val="679144CF"/>
    <w:rsid w:val="77302EC9"/>
    <w:rsid w:val="78DD0E2E"/>
    <w:rsid w:val="79C124FE"/>
    <w:rsid w:val="79D833A4"/>
    <w:rsid w:val="7DFFE873"/>
    <w:rsid w:val="7EF667A6"/>
    <w:rsid w:val="AEFABC76"/>
    <w:rsid w:val="CC3D3E0D"/>
    <w:rsid w:val="DBEBCE03"/>
    <w:rsid w:val="F78976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正文文本缩进 31"/>
    <w:basedOn w:val="1"/>
    <w:qFormat/>
    <w:uiPriority w:val="99"/>
    <w:pPr>
      <w:ind w:left="420" w:leftChars="200"/>
    </w:pPr>
    <w:rPr>
      <w:rFonts w:eastAsia="仿宋" w:cs="Calibri"/>
      <w:sz w:val="16"/>
      <w:szCs w:val="16"/>
    </w:rPr>
  </w:style>
  <w:style w:type="paragraph" w:customStyle="1" w:styleId="5">
    <w:name w:val="Default"/>
    <w:qFormat/>
    <w:uiPriority w:val="0"/>
    <w:pPr>
      <w:widowControl w:val="0"/>
      <w:autoSpaceDE w:val="0"/>
      <w:autoSpaceDN w:val="0"/>
      <w:adjustRightInd w:val="0"/>
    </w:pPr>
    <w:rPr>
      <w:rFonts w:ascii="华文新魏" w:hAnsi="华文新魏" w:eastAsia="宋体" w:cs="华文新魏"/>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3877</Words>
  <Characters>3918</Characters>
  <Lines>0</Lines>
  <Paragraphs>0</Paragraphs>
  <TotalTime>6</TotalTime>
  <ScaleCrop>false</ScaleCrop>
  <LinksUpToDate>false</LinksUpToDate>
  <CharactersWithSpaces>3921</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2023-07-04T00:08:00Z</dcterms:created>
  <dc:creator>kailu</dc:creator>
  <cp:lastModifiedBy>kailu</cp:lastModifiedBy>
  <dcterms:modified xsi:type="dcterms:W3CDTF">2023-07-06T10:37:25Z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E3C5A001B42D4B8C9F8FBE7C9A96723D_11</vt:lpwstr>
  </property>
  <property fmtid="{D5CDD505-2E9C-101B-9397-08002B2CF9AE}" pid="4" name="woTemplateTypoMode" linkTarget="0">
    <vt:lpwstr>web</vt:lpwstr>
  </property>
  <property fmtid="{D5CDD505-2E9C-101B-9397-08002B2CF9AE}" pid="5" name="woTemplate" linkTarget="0">
    <vt:i4>1</vt:i4>
  </property>
</Properties>
</file>