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rPr>
          <w:rFonts w:hint="eastAsia"/>
          <w:lang w:eastAsia="zh-CN"/>
        </w:rPr>
      </w:pPr>
      <w:r>
        <w:rPr>
          <w:rFonts w:hint="eastAsia"/>
        </w:rPr>
        <w:t>废止的规范性文件</w:t>
      </w:r>
      <w:r>
        <w:rPr>
          <w:rFonts w:hint="eastAsia"/>
          <w:lang w:eastAsia="zh-CN"/>
        </w:rPr>
        <w:t>目录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 w:eastAsia="zh-CN"/>
        </w:rPr>
      </w:pPr>
    </w:p>
    <w:tbl>
      <w:tblPr>
        <w:tblStyle w:val="4"/>
        <w:tblW w:w="925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140"/>
        <w:gridCol w:w="2269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发文字号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关于印发《浔阳区专利授权资助暂行办法》的通知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浔府办字[2014]64号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关于进一步推进户籍制度改革的实施意见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浔府办发[2015]10号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区公安分局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关于印发《浔阳区贫困脑瘫残疾儿童抢救性康复救助项目实施方案》的通知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浔府办字[2015]8号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区残联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关于印发浔阳区盐业体制改革实施方案的通知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浔府字〔2017〕20号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区工信局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关于印发《浔阳区房屋征收房地产估价机构遴选办法（试行）》的通知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浔府办发〔2017〕8号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浔阳区餐饮业专项清理整治工作方案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浔府办字〔2018〕28号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区环保局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关于印发《浔阳区创建国家公共文化服务体系示范区攻坚行动方案》的通知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浔府办字〔2018〕40号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4720"/>
    <w:rsid w:val="31A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2019-12-10T05:49:00Z</dcterms:created>
  <dc:creator>崔晨芳</dc:creator>
  <cp:lastModifiedBy>崔晨芳</cp:lastModifiedBy>
  <dcterms:modified xsi:type="dcterms:W3CDTF">2019-12-10T05:51:18Z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