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宋体" w:hAnsi="宋体"/>
          <w:b/>
          <w:bCs/>
          <w:spacing w:val="-12"/>
          <w:sz w:val="44"/>
          <w:szCs w:val="44"/>
        </w:rPr>
      </w:pPr>
      <w:r>
        <w:rPr>
          <w:rFonts w:hint="eastAsia" w:ascii="宋体" w:hAnsi="宋体"/>
          <w:b/>
          <w:bCs/>
          <w:spacing w:val="-12"/>
          <w:sz w:val="44"/>
          <w:szCs w:val="44"/>
        </w:rPr>
        <w:t>浔阳区人民政府关于2018年度财政决算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pacing w:val="-12"/>
          <w:sz w:val="44"/>
          <w:szCs w:val="44"/>
        </w:rPr>
        <w:t>情况的</w:t>
      </w:r>
      <w:r>
        <w:rPr>
          <w:rFonts w:hint="eastAsia" w:ascii="宋体" w:hAnsi="宋体"/>
          <w:b/>
          <w:bCs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楷体_GB2312" w:hAnsi="楷体" w:eastAsia="楷体_GB2312" w:cs="楷体"/>
          <w:b/>
          <w:bCs w:val="0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bCs w:val="0"/>
          <w:color w:val="000000" w:themeColor="text1"/>
          <w:sz w:val="32"/>
          <w:szCs w:val="32"/>
        </w:rPr>
        <w:t>019年10月29日在区十届人大常委会第二十二会议上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楷体_GB2312" w:hAnsi="宋体" w:eastAsia="楷体_GB2312"/>
          <w:b/>
          <w:bCs w:val="0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b/>
          <w:bCs w:val="0"/>
          <w:color w:val="000000" w:themeColor="text1"/>
          <w:sz w:val="32"/>
          <w:szCs w:val="32"/>
        </w:rPr>
        <w:t>浔阳区财政局局长    张 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楷体_GB2312" w:hAnsi="宋体"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主任、副主任、各位委员：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我受区人民政府委托，向本次会议报告2018年度财政决算情况，请予审查。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一、2018年度财政收支决算情况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地方一般公共预算收支决算情况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2018年区本级地方一般公共预算收入决算数为115,657万元，完成调整预算（以下简称预算）的100%，其中主要收入项目完成情况是：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增值税（45%部分）完成34,243万元，完成预算100%；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营业税（45%部分）完成328万元，完成预算99.39%；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企业所得税(32%部分)完成10,712万元，完成预算99.97%；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个人所得税(32%部分)完成6,395万元，完成预算100%；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其他税种完成16,532万元，完成预算100.03%；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非税收入完成47,393万元，完成预算100%，其中: 行政事业性收费和罚没收入完成8,829万元，完成预算100%；专项收入完成3,897万元，完成预算100.03%；其他非税收入完成34,667万元，完成预算99.99%。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2018年一般公共预算支出149,894万元，分功能科目支出情况是：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公共服务支出28,468万元，完成预算97.53%，主要原因是市对区的奖补资金530万元及基层运转保障补助资金192万元结转下年支出;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公共安全支出9,257万元，完成预算90.74%，主要原因是政法转移支付资金945万元结转下年支出；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教育支出22,199万元，完成预算88.85%，主要原因是地方教育费附加返还527万元，中央学前教育补助资金445万元，省级基础教育专项资金1,504万元及义务教育薄弱学校改造补助资金226万元结转下年支出；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科学技术支出2,565万元，完成预算96.72%，主要原因是市级两化融合专项资金40万元及科技专项资金47万元结转下年支出；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文化体育与传媒支出414万元，完成预算85.89%，主要原因是公共文化服务体系建设专项补助20万元及省级体育专项补助48万元结转下年支出；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社会保障和就业支出13,373万元，完成预算85.41%，主要原因是低保、救济、抚恤等补助资金2,260万元及养老保险中央转移支付资金1,470万元结转下年支出；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疗卫生支出15,893万元，完成预算96.36%，主要原因是公共卫生服务中央、省级补助资金335万元，医疗服务能力提升中央补助70万元，食品安全补助资金45万元，计划生育特别扶助资金42万元及医疗救助补助资金108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节能环保支出327万元，完成预算14.14%，主要原因是流域生态补偿资金869万元和长江经济带补助资金1,092万元结转下年支出；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城乡社区支出45,464万元，完成预算87.83%，主要原因是菜场升级改造补助资金114万元，城乡综合整治补助资金250万元，庾亮南路历史文化街区改造2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000万元，新市民服务中心改造1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729万元及旧城改造补助资金2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205万元结转下年支出；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农林水支出979万元，完成预算54.03%，主要原因是市级村建补助资金30万元，普惠金融发展资金90万元，省级水利专项补助20万元及码头拆迁市级补助632万元等结转下年支出；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交通运输支出1,934万元，完成预算98.37%，主要原因是成品油价格补贴资金32万元结转下年支出；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资源勘探信息等支出727万元，完成预算73.66%，主要原因是标准厂房建设补助资金186万元等结转下年支出；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商业服务业等支出704万元，完成预算75.7%，主要原因是2018年商贸流通产业发展补助资金190万元及市级服务业发展专项资金39万元结转下年支出；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国土海洋气象等支出345万元，完成预算100%；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住房保障支出4,398万元，完成预算99.82%；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金融及其他支出142万元；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债务付息及发行费用支出2,705万元。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政府性基金预算收支决算情况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2018年政府性基金收入实现29,056万元，其中：国有土地收益金收入2,419万元，农业土地开发资金收入28万元，国有土地使用权出让收入26,609万元。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政府性基金支出共112,714万元，其中：国家电影事业发展专项资金支出17万元，国有土地使用权出让相关支出108,992万元，国有土地收益基金支出2,700万元，农业土地开发资金支出38万元，旅游发展基金支出5万元，彩票公益金支出172万元，债务付息支出790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3. 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我区目前无国有资本经营收入，未安排相应支出。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社会保险基金预算收支决算情况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社会保险基金收入实现46,769万元，其中：企业职工基本养老保险基金收入20,622万元，城乡居民基本养老保险基金收入313万元，机关事业单位基本养老保险基金收入12,331万元，城镇职工基本医疗保险基金收入4,307万元，城乡居民基本医疗保险基金收入8,246万元，工伤保险基金收入142万元，失业保险基金收入294万元，生育保险基金收入514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社会保险基金支出实现32,190万元，其中：企业职工基本养老保险基金支出13,037万元，城乡居民基本养老保险基金支出561万元，机关事业单位基本养老保险基金支出8,999万元，城镇职工基本医疗保险基金支出2,499万元，城乡居民基本医疗保险基金支出6,005万元，工伤保险基金支出513万元，失业保险基金支出75万元，生育保险基金支出501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二、2018年度财政收支平衡情况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2018年市级批复的决算，按照现行的财政体制结算办法计算，2018年我区一般公共预算收入为115,657万元，加上上年结余7,890万元，上级专项补助资金106,771万元，债券转贷收入12,436万元，全年总的可用财力为242,754万元。2018年的一般公共预算支出149,894万元，债务还本支出6,185万元，安排预算稳定调节基金10,657万元，收支相抵后，年终滚存结余76,018万元。结余原因均为上级转移支付资金结转下年度支出，主要是大中路西段项目补助资金57,060万元结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2018年基金收入29,056 万元，上年结余24,175万元，上级补助收入1,199万元，调入资金58,673万元，基金总收入113,103 万元。2018年基金支出112,714万元，年终基金滚存结余389万元。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2018年社会保险基金收入</w:t>
      </w:r>
      <w:r>
        <w:rPr>
          <w:rFonts w:ascii="仿宋" w:hAnsi="仿宋" w:eastAsia="仿宋"/>
          <w:sz w:val="32"/>
          <w:szCs w:val="32"/>
        </w:rPr>
        <w:t>46,769</w:t>
      </w:r>
      <w:r>
        <w:rPr>
          <w:rFonts w:hint="eastAsia" w:ascii="仿宋" w:hAnsi="仿宋" w:eastAsia="仿宋"/>
          <w:sz w:val="32"/>
          <w:szCs w:val="32"/>
        </w:rPr>
        <w:t>万元，上年滚存结余51,303万元，社会保险基金支出32,190万元， 2018年末滚存结余65,882万元。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三、其他相关事项的报告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1. 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截止2018年12月底，我区政府性债务</w:t>
      </w:r>
      <w:r>
        <w:rPr>
          <w:rFonts w:hint="eastAsia" w:ascii="仿宋" w:hAnsi="仿宋" w:eastAsia="仿宋"/>
          <w:sz w:val="32"/>
          <w:szCs w:val="32"/>
        </w:rPr>
        <w:t>余</w:t>
      </w:r>
      <w:r>
        <w:rPr>
          <w:rFonts w:ascii="仿宋" w:hAnsi="仿宋" w:eastAsia="仿宋"/>
          <w:sz w:val="32"/>
          <w:szCs w:val="32"/>
        </w:rPr>
        <w:t>额</w:t>
      </w:r>
      <w:r>
        <w:rPr>
          <w:rFonts w:hint="eastAsia" w:ascii="仿宋" w:hAnsi="仿宋" w:eastAsia="仿宋"/>
          <w:sz w:val="32"/>
          <w:szCs w:val="32"/>
        </w:rPr>
        <w:t>462,986</w:t>
      </w:r>
      <w:r>
        <w:rPr>
          <w:rFonts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</w:rPr>
        <w:t>2018年当年偿还债务173,636.4万元，2018年新增省政府债券转贷资金12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436.4万元（其中：新增一般债券6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251万元，新增置换债券6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185.4万元）。</w:t>
      </w:r>
      <w:r>
        <w:rPr>
          <w:rFonts w:ascii="仿宋" w:hAnsi="仿宋" w:eastAsia="仿宋"/>
          <w:sz w:val="32"/>
          <w:szCs w:val="32"/>
        </w:rPr>
        <w:t>债</w:t>
      </w:r>
      <w:r>
        <w:rPr>
          <w:rFonts w:hint="eastAsia" w:ascii="仿宋" w:hAnsi="仿宋" w:eastAsia="仿宋"/>
          <w:sz w:val="32"/>
          <w:szCs w:val="32"/>
        </w:rPr>
        <w:t>券</w:t>
      </w:r>
      <w:r>
        <w:rPr>
          <w:rFonts w:ascii="仿宋" w:hAnsi="仿宋" w:eastAsia="仿宋"/>
          <w:sz w:val="32"/>
          <w:szCs w:val="32"/>
        </w:rPr>
        <w:t>资金主要用于战备路片区改造项目、德化二期、湓浦街道莲花池片区项目、战备路安置小区(煜程钢构)、甘棠保障性住房项目、考棚片区拆迁项目、孔家洼保障性住房建设项目、整流器厂旧城改造项目征迁补偿款、京九商贸城项目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left="0" w:leftChars="0"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预备费使用情况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pacing w:val="0"/>
          <w:sz w:val="32"/>
          <w:szCs w:val="32"/>
        </w:rPr>
        <w:t>年初预算中预备费安排2,212万元，已全部使用，按规定主要用于突发事件处置、公共安全、公共卫生及民生保障等方面支出。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left="0" w:leftChars="0"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超收收入和预算稳定调节基金情况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2018年，我区公共预算收入比年初预算超收10,657万元，当年补充预算稳定调节基金10,657万元，预算稳定调节基金规模10,657万元。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left="0" w:leftChars="0" w:firstLine="643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预算周转金情况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2018年，我区未新增预算周转金，预算周转金规模保持15万元。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全区财政预算执行情况良好，财政收入稳定增长，公共保障能力进一步增强，资金使用效益进一步提高，但仍然存在一些困难和问题，例如收入增长后劲不足、刚性支出大、收支矛盾较为突出以及预算执行过程中的项目进度落后等。针对这些困难和问题，我们将认真研究，细化举措，在今后的工作中逐步予以解决。在区委的正确领导下，我们一定会严格遵守《预算法》等法律法规，诚恳接受区人大的指导和监督，充分发挥财政职能，扎实做好各项财政工作，为谱写“实力、活力、魅力、和谐”现代化浔阳篇章作出应有的贡献。</w:t>
      </w:r>
    </w:p>
    <w:sectPr>
      <w:footerReference r:id="rId3" w:type="default"/>
      <w:pgSz w:w="11906" w:h="16838"/>
      <w:pgMar w:top="1984" w:right="1531" w:bottom="1984" w:left="1531" w:header="851" w:footer="1531" w:gutter="0"/>
      <w:pgNumType w:fmt="numberInDash"/>
      <w:cols w:space="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- 5 -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E30125"/>
    <w:multiLevelType w:val="singleLevel"/>
    <w:tmpl w:val="91E301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19C784"/>
    <w:multiLevelType w:val="singleLevel"/>
    <w:tmpl w:val="2819C784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73F23182"/>
    <w:multiLevelType w:val="singleLevel"/>
    <w:tmpl w:val="73F2318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29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88"/>
    <w:rsid w:val="00003682"/>
    <w:rsid w:val="0005394A"/>
    <w:rsid w:val="000743B5"/>
    <w:rsid w:val="00177025"/>
    <w:rsid w:val="001E61C6"/>
    <w:rsid w:val="0020390C"/>
    <w:rsid w:val="0021163C"/>
    <w:rsid w:val="002129EE"/>
    <w:rsid w:val="00251BAA"/>
    <w:rsid w:val="00270ADE"/>
    <w:rsid w:val="00280EA7"/>
    <w:rsid w:val="003B2160"/>
    <w:rsid w:val="003D32CB"/>
    <w:rsid w:val="003F14E5"/>
    <w:rsid w:val="003F3C47"/>
    <w:rsid w:val="004446BA"/>
    <w:rsid w:val="004538F5"/>
    <w:rsid w:val="00482BBE"/>
    <w:rsid w:val="004A795E"/>
    <w:rsid w:val="004D1673"/>
    <w:rsid w:val="00537541"/>
    <w:rsid w:val="00541E72"/>
    <w:rsid w:val="005A07CF"/>
    <w:rsid w:val="00654DBE"/>
    <w:rsid w:val="006C2E51"/>
    <w:rsid w:val="006C57E8"/>
    <w:rsid w:val="006E0113"/>
    <w:rsid w:val="0076012E"/>
    <w:rsid w:val="007D4ECE"/>
    <w:rsid w:val="0081239F"/>
    <w:rsid w:val="00894B76"/>
    <w:rsid w:val="008B5588"/>
    <w:rsid w:val="009407D4"/>
    <w:rsid w:val="00963E00"/>
    <w:rsid w:val="00A26A6F"/>
    <w:rsid w:val="00A77EDA"/>
    <w:rsid w:val="00AA1D99"/>
    <w:rsid w:val="00AF4390"/>
    <w:rsid w:val="00C3721D"/>
    <w:rsid w:val="00C6022D"/>
    <w:rsid w:val="00C702B3"/>
    <w:rsid w:val="00CB6879"/>
    <w:rsid w:val="00CC7924"/>
    <w:rsid w:val="00DC5C40"/>
    <w:rsid w:val="00DE17FE"/>
    <w:rsid w:val="00DE4D6D"/>
    <w:rsid w:val="00E06997"/>
    <w:rsid w:val="00E6015D"/>
    <w:rsid w:val="00ED501D"/>
    <w:rsid w:val="00F4187D"/>
    <w:rsid w:val="00F96ACE"/>
    <w:rsid w:val="00FC0A9A"/>
    <w:rsid w:val="064E46B8"/>
    <w:rsid w:val="08820573"/>
    <w:rsid w:val="096B7AF2"/>
    <w:rsid w:val="0A9D416F"/>
    <w:rsid w:val="10026CC7"/>
    <w:rsid w:val="108F2E53"/>
    <w:rsid w:val="17F63B49"/>
    <w:rsid w:val="1C4C5A79"/>
    <w:rsid w:val="1F2A6B84"/>
    <w:rsid w:val="1FAF2299"/>
    <w:rsid w:val="25C9773C"/>
    <w:rsid w:val="26C76B52"/>
    <w:rsid w:val="286C39F9"/>
    <w:rsid w:val="2CC35374"/>
    <w:rsid w:val="2D0F7776"/>
    <w:rsid w:val="2E3D5923"/>
    <w:rsid w:val="32096ED4"/>
    <w:rsid w:val="37DC3753"/>
    <w:rsid w:val="39F5735E"/>
    <w:rsid w:val="3A2C7011"/>
    <w:rsid w:val="3A980471"/>
    <w:rsid w:val="3E274CE9"/>
    <w:rsid w:val="3F2E7E5E"/>
    <w:rsid w:val="44BB0E9C"/>
    <w:rsid w:val="459C6F06"/>
    <w:rsid w:val="463945B4"/>
    <w:rsid w:val="46B65EFD"/>
    <w:rsid w:val="49FC20AF"/>
    <w:rsid w:val="4B24746B"/>
    <w:rsid w:val="52BA4B93"/>
    <w:rsid w:val="557D4801"/>
    <w:rsid w:val="613C145E"/>
    <w:rsid w:val="68E34BF4"/>
    <w:rsid w:val="6BA90099"/>
    <w:rsid w:val="6D6F5789"/>
    <w:rsid w:val="78143D62"/>
    <w:rsid w:val="78A90FBA"/>
    <w:rsid w:val="793A1591"/>
    <w:rsid w:val="7B61782E"/>
    <w:rsid w:val="7C0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uiPriority w:val="99"/>
    <w:rPr>
      <w:color w:val="333333"/>
      <w:u w:val="none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510</Words>
  <Characters>2910</Characters>
  <Lines>24</Lines>
  <Paragraphs>6</Paragraphs>
  <TotalTime>215</TotalTime>
  <ScaleCrop>false</ScaleCrop>
  <LinksUpToDate>false</LinksUpToDate>
  <CharactersWithSpaces>3414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2019-10-22T06:06:00Z</dcterms:created>
  <dc:creator>Windows 用户</dc:creator>
  <cp:lastModifiedBy>文冠文印  13755257615</cp:lastModifiedBy>
  <cp:lastPrinted>2019-10-22T08:19:00Z</cp:lastPrinted>
  <dcterms:modified xsi:type="dcterms:W3CDTF">2019-10-28T08:02:01Z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