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val="0"/>
        <w:overflowPunct/>
        <w:topLinePunct w:val="0"/>
        <w:autoSpaceDE/>
        <w:autoSpaceDN/>
        <w:bidi w:val="0"/>
        <w:adjustRightInd/>
        <w:snapToGrid/>
        <w:ind w:left="0" w:leftChars="0" w:firstLine="0" w:firstLineChars="0"/>
        <w:jc w:val="right"/>
        <w:textAlignment w:val="auto"/>
        <w:outlineLvl w:val="9"/>
        <w:rPr>
          <w:rFonts w:hint="default" w:ascii="Times New Roman" w:hAnsi="Times New Roman" w:eastAsia="宋体" w:cs="Times New Roman"/>
          <w:b/>
          <w:sz w:val="44"/>
          <w:szCs w:val="44"/>
        </w:rPr>
      </w:pPr>
      <w:r>
        <w:rPr>
          <w:rFonts w:hint="default" w:ascii="Times New Roman" w:hAnsi="Times New Roman" w:eastAsia="宋体" w:cs="Times New Roman"/>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482850" cy="391795"/>
            <wp:effectExtent l="0" t="0" r="12700" b="8255"/>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5"/>
                    <a:stretch>
                      <a:fillRect/>
                    </a:stretch>
                  </pic:blipFill>
                  <pic:spPr>
                    <a:xfrm>
                      <a:off x="0" y="0"/>
                      <a:ext cx="2482850" cy="391795"/>
                    </a:xfrm>
                    <a:prstGeom prst="rect">
                      <a:avLst/>
                    </a:prstGeom>
                    <a:noFill/>
                    <a:ln>
                      <a:noFill/>
                    </a:ln>
                  </pic:spPr>
                </pic:pic>
              </a:graphicData>
            </a:graphic>
          </wp:anchor>
        </w:drawing>
      </w:r>
      <w:r>
        <w:rPr>
          <w:rFonts w:hint="default" w:ascii="Times New Roman" w:hAnsi="Times New Roman" w:eastAsia="宋体" w:cs="Times New Roman"/>
          <w:b/>
          <w:szCs w:val="28"/>
        </w:rPr>
        <w:t>报告版本号: (20</w:t>
      </w:r>
      <w:r>
        <w:rPr>
          <w:rFonts w:hint="default" w:ascii="Times New Roman" w:hAnsi="Times New Roman" w:eastAsia="宋体" w:cs="Times New Roman"/>
          <w:b/>
          <w:szCs w:val="28"/>
          <w:lang w:val="en-US" w:eastAsia="zh-CN"/>
        </w:rPr>
        <w:t>21</w:t>
      </w:r>
      <w:r>
        <w:rPr>
          <w:rFonts w:hint="default" w:ascii="Times New Roman" w:hAnsi="Times New Roman" w:eastAsia="宋体" w:cs="Times New Roman"/>
          <w:b/>
          <w:szCs w:val="28"/>
        </w:rPr>
        <w:t>)第</w:t>
      </w:r>
      <w:r>
        <w:rPr>
          <w:rFonts w:hint="default" w:ascii="Times New Roman" w:hAnsi="Times New Roman" w:eastAsia="宋体" w:cs="Times New Roman"/>
          <w:b/>
          <w:szCs w:val="28"/>
          <w:lang w:eastAsia="zh-CN"/>
        </w:rPr>
        <w:t>二</w:t>
      </w:r>
      <w:r>
        <w:rPr>
          <w:rFonts w:hint="default" w:ascii="Times New Roman" w:hAnsi="Times New Roman" w:eastAsia="宋体" w:cs="Times New Roman"/>
          <w:b/>
          <w:szCs w:val="28"/>
        </w:rPr>
        <w:t>版</w:t>
      </w:r>
    </w:p>
    <w:p>
      <w:pPr>
        <w:pStyle w:val="19"/>
        <w:rPr>
          <w:rFonts w:hint="default" w:ascii="Times New Roman" w:hAnsi="Times New Roman" w:eastAsia="宋体" w:cs="Times New Roman"/>
          <w:b/>
          <w:bCs/>
        </w:rPr>
      </w:pPr>
    </w:p>
    <w:p>
      <w:pPr>
        <w:pStyle w:val="19"/>
        <w:ind w:firstLine="880"/>
        <w:rPr>
          <w:rFonts w:hint="default" w:ascii="Times New Roman" w:hAnsi="Times New Roman" w:eastAsia="宋体" w:cs="Times New Roman"/>
          <w:sz w:val="44"/>
          <w:szCs w:val="44"/>
        </w:rPr>
      </w:pPr>
    </w:p>
    <w:p>
      <w:pPr>
        <w:pStyle w:val="19"/>
        <w:ind w:firstLine="880"/>
        <w:rPr>
          <w:rFonts w:hint="default" w:ascii="Times New Roman" w:hAnsi="Times New Roman" w:eastAsia="宋体" w:cs="Times New Roman"/>
          <w:sz w:val="44"/>
          <w:szCs w:val="44"/>
        </w:rPr>
      </w:pPr>
    </w:p>
    <w:p>
      <w:pPr>
        <w:pStyle w:val="19"/>
        <w:ind w:firstLine="880"/>
        <w:rPr>
          <w:rFonts w:hint="default" w:ascii="Times New Roman" w:hAnsi="Times New Roman" w:eastAsia="宋体" w:cs="Times New Roman"/>
          <w:sz w:val="44"/>
          <w:szCs w:val="44"/>
        </w:rPr>
      </w:pPr>
    </w:p>
    <w:p>
      <w:pPr>
        <w:pStyle w:val="19"/>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ascii="Times New Roman" w:hAnsi="Times New Roman" w:eastAsia="宋体" w:cs="Times New Roman"/>
          <w:b/>
          <w:bCs/>
          <w:sz w:val="48"/>
          <w:szCs w:val="48"/>
        </w:rPr>
      </w:pPr>
      <w:r>
        <w:rPr>
          <w:rFonts w:hint="default" w:ascii="Times New Roman" w:hAnsi="Times New Roman" w:eastAsia="宋体" w:cs="Times New Roman"/>
          <w:b/>
          <w:bCs/>
          <w:sz w:val="48"/>
          <w:szCs w:val="48"/>
        </w:rPr>
        <w:t>中国石化销售股份有限公司华中分公司九江油库环境风险评估报告</w:t>
      </w:r>
    </w:p>
    <w:p>
      <w:pPr>
        <w:pStyle w:val="19"/>
        <w:rPr>
          <w:rFonts w:hint="default" w:ascii="Times New Roman" w:hAnsi="Times New Roman" w:eastAsia="宋体" w:cs="Times New Roman"/>
        </w:rPr>
      </w:pPr>
    </w:p>
    <w:p>
      <w:pPr>
        <w:pStyle w:val="19"/>
        <w:rPr>
          <w:rFonts w:hint="default" w:ascii="Times New Roman" w:hAnsi="Times New Roman" w:eastAsia="宋体" w:cs="Times New Roman"/>
        </w:rPr>
      </w:pPr>
    </w:p>
    <w:p>
      <w:pPr>
        <w:pStyle w:val="19"/>
        <w:rPr>
          <w:rFonts w:hint="default" w:ascii="Times New Roman" w:hAnsi="Times New Roman" w:eastAsia="宋体" w:cs="Times New Roman"/>
        </w:rPr>
      </w:pPr>
    </w:p>
    <w:p>
      <w:pPr>
        <w:pStyle w:val="19"/>
        <w:rPr>
          <w:rFonts w:hint="default" w:ascii="Times New Roman" w:hAnsi="Times New Roman" w:eastAsia="宋体" w:cs="Times New Roman"/>
        </w:rPr>
      </w:pPr>
    </w:p>
    <w:p>
      <w:pPr>
        <w:pStyle w:val="19"/>
        <w:rPr>
          <w:rFonts w:hint="default" w:ascii="Times New Roman" w:hAnsi="Times New Roman" w:eastAsia="宋体" w:cs="Times New Roman"/>
        </w:rPr>
      </w:pPr>
    </w:p>
    <w:p>
      <w:pPr>
        <w:pStyle w:val="19"/>
        <w:rPr>
          <w:rFonts w:hint="default" w:ascii="Times New Roman" w:hAnsi="Times New Roman" w:eastAsia="宋体" w:cs="Times New Roman"/>
        </w:rPr>
      </w:pPr>
    </w:p>
    <w:p>
      <w:pPr>
        <w:pStyle w:val="19"/>
        <w:rPr>
          <w:rFonts w:hint="default" w:ascii="Times New Roman" w:hAnsi="Times New Roman" w:eastAsia="宋体" w:cs="Times New Roman"/>
        </w:rPr>
      </w:pPr>
    </w:p>
    <w:p>
      <w:pPr>
        <w:pStyle w:val="19"/>
        <w:rPr>
          <w:rFonts w:hint="default" w:ascii="Times New Roman" w:hAnsi="Times New Roman" w:eastAsia="宋体" w:cs="Times New Roman"/>
        </w:rPr>
      </w:pPr>
    </w:p>
    <w:p>
      <w:pPr>
        <w:pStyle w:val="19"/>
        <w:rPr>
          <w:rFonts w:hint="default" w:ascii="Times New Roman" w:hAnsi="Times New Roman" w:eastAsia="宋体" w:cs="Times New Roman"/>
        </w:rPr>
      </w:pPr>
    </w:p>
    <w:p>
      <w:pPr>
        <w:pStyle w:val="19"/>
        <w:rPr>
          <w:rFonts w:hint="default" w:ascii="Times New Roman" w:hAnsi="Times New Roman" w:eastAsia="宋体" w:cs="Times New Roman"/>
        </w:rPr>
      </w:pPr>
    </w:p>
    <w:p>
      <w:pPr>
        <w:pStyle w:val="19"/>
        <w:rPr>
          <w:rFonts w:hint="default" w:ascii="Times New Roman" w:hAnsi="Times New Roman" w:eastAsia="宋体" w:cs="Times New Roman"/>
        </w:rPr>
      </w:pPr>
    </w:p>
    <w:p>
      <w:pPr>
        <w:pStyle w:val="19"/>
        <w:rPr>
          <w:rFonts w:hint="default" w:ascii="Times New Roman" w:hAnsi="Times New Roman" w:eastAsia="宋体" w:cs="Times New Roman"/>
        </w:rPr>
      </w:pPr>
    </w:p>
    <w:p>
      <w:pPr>
        <w:pStyle w:val="19"/>
        <w:rPr>
          <w:rFonts w:hint="default" w:ascii="Times New Roman" w:hAnsi="Times New Roman" w:eastAsia="宋体" w:cs="Times New Roman"/>
        </w:rPr>
      </w:pPr>
    </w:p>
    <w:p>
      <w:pPr>
        <w:pStyle w:val="19"/>
        <w:rPr>
          <w:rFonts w:hint="default" w:ascii="Times New Roman" w:hAnsi="Times New Roman" w:eastAsia="宋体" w:cs="Times New Roman"/>
        </w:rPr>
      </w:pPr>
    </w:p>
    <w:p>
      <w:pPr>
        <w:pStyle w:val="19"/>
        <w:rPr>
          <w:rFonts w:hint="default" w:ascii="Times New Roman" w:hAnsi="Times New Roman" w:eastAsia="宋体" w:cs="Times New Roman"/>
        </w:rPr>
      </w:pPr>
    </w:p>
    <w:p>
      <w:pPr>
        <w:pStyle w:val="19"/>
        <w:rPr>
          <w:rFonts w:hint="default" w:ascii="Times New Roman" w:hAnsi="Times New Roman" w:eastAsia="宋体" w:cs="Times New Roman"/>
        </w:rPr>
      </w:pPr>
    </w:p>
    <w:p>
      <w:pPr>
        <w:pStyle w:val="19"/>
        <w:rPr>
          <w:rFonts w:hint="default" w:ascii="Times New Roman" w:hAnsi="Times New Roman" w:eastAsia="宋体" w:cs="Times New Roman"/>
        </w:rPr>
      </w:pPr>
    </w:p>
    <w:p>
      <w:pPr>
        <w:pStyle w:val="19"/>
        <w:rPr>
          <w:rFonts w:hint="default" w:ascii="Times New Roman" w:hAnsi="Times New Roman" w:eastAsia="宋体" w:cs="Times New Roma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0" w:firstLineChars="0"/>
        <w:jc w:val="both"/>
        <w:textAlignment w:val="auto"/>
        <w:outlineLvl w:val="9"/>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val="en-US" w:eastAsia="zh-CN"/>
        </w:rPr>
        <w:t>编制</w:t>
      </w:r>
      <w:r>
        <w:rPr>
          <w:rFonts w:hint="default" w:ascii="Times New Roman" w:hAnsi="Times New Roman" w:eastAsia="宋体" w:cs="Times New Roman"/>
          <w:b/>
          <w:bCs/>
          <w:color w:val="auto"/>
          <w:sz w:val="24"/>
          <w:szCs w:val="24"/>
        </w:rPr>
        <w:t>单位：</w:t>
      </w:r>
      <w:r>
        <w:rPr>
          <w:rFonts w:hint="default" w:ascii="Times New Roman" w:hAnsi="Times New Roman" w:cs="Times New Roman"/>
          <w:b/>
          <w:bCs/>
          <w:color w:val="auto"/>
          <w:sz w:val="24"/>
          <w:szCs w:val="24"/>
          <w:highlight w:val="none"/>
        </w:rPr>
        <w:t>中国石化销售股份有限公司华中分公司</w:t>
      </w:r>
      <w:r>
        <w:rPr>
          <w:rFonts w:hint="eastAsia" w:ascii="Times New Roman" w:hAnsi="Times New Roman" w:cs="Times New Roman"/>
          <w:b/>
          <w:bCs/>
          <w:color w:val="auto"/>
          <w:sz w:val="24"/>
          <w:szCs w:val="24"/>
          <w:highlight w:val="none"/>
          <w:lang w:eastAsia="zh-CN"/>
        </w:rPr>
        <w:t>安徽输油管理处</w:t>
      </w:r>
      <w:r>
        <w:rPr>
          <w:rFonts w:hint="default" w:ascii="Times New Roman" w:hAnsi="Times New Roman" w:cs="Times New Roman"/>
          <w:b/>
          <w:bCs/>
          <w:color w:val="auto"/>
          <w:sz w:val="24"/>
          <w:szCs w:val="24"/>
          <w:highlight w:val="none"/>
        </w:rPr>
        <w:t>九江油库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8"/>
          <w:szCs w:val="28"/>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b/>
          <w:bCs/>
          <w:color w:val="auto"/>
          <w:sz w:val="24"/>
          <w:szCs w:val="24"/>
        </w:rPr>
        <w:t>编制日期：20</w:t>
      </w:r>
      <w:r>
        <w:rPr>
          <w:rFonts w:hint="default" w:ascii="Times New Roman" w:hAnsi="Times New Roman" w:eastAsia="宋体" w:cs="Times New Roman"/>
          <w:b/>
          <w:bCs/>
          <w:color w:val="auto"/>
          <w:sz w:val="24"/>
          <w:szCs w:val="24"/>
          <w:lang w:val="en-US" w:eastAsia="zh-CN"/>
        </w:rPr>
        <w:t>21</w:t>
      </w:r>
      <w:r>
        <w:rPr>
          <w:rFonts w:hint="default" w:ascii="Times New Roman" w:hAnsi="Times New Roman" w:eastAsia="宋体" w:cs="Times New Roman"/>
          <w:b/>
          <w:bCs/>
          <w:color w:val="auto"/>
          <w:sz w:val="24"/>
          <w:szCs w:val="24"/>
        </w:rPr>
        <w:t>年</w:t>
      </w:r>
      <w:r>
        <w:rPr>
          <w:rFonts w:hint="eastAsia" w:cs="Times New Roman"/>
          <w:b/>
          <w:bCs/>
          <w:color w:val="auto"/>
          <w:sz w:val="24"/>
          <w:szCs w:val="24"/>
          <w:lang w:val="en-US" w:eastAsia="zh-CN"/>
        </w:rPr>
        <w:t>10</w:t>
      </w:r>
      <w:r>
        <w:rPr>
          <w:rFonts w:hint="default" w:ascii="Times New Roman" w:hAnsi="Times New Roman" w:eastAsia="宋体" w:cs="Times New Roman"/>
          <w:b/>
          <w:bCs/>
          <w:color w:val="auto"/>
          <w:sz w:val="24"/>
          <w:szCs w:val="24"/>
        </w:rPr>
        <w:t>月</w:t>
      </w:r>
    </w:p>
    <w:p>
      <w:pPr>
        <w:pStyle w:val="3"/>
        <w:rPr>
          <w:rFonts w:hint="default"/>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eastAsia="宋体" w:cs="Times New Roman"/>
          <w:b/>
          <w:bCs/>
          <w:kern w:val="2"/>
          <w:sz w:val="32"/>
          <w:szCs w:val="32"/>
          <w:lang w:val="en-US" w:eastAsia="zh-CN" w:bidi="ar-SA"/>
        </w:rPr>
        <w:id w:val="147459555"/>
        <w15:color w:val="DBDBDB"/>
        <w:docPartObj>
          <w:docPartGallery w:val="Table of Contents"/>
          <w:docPartUnique/>
        </w:docPartObj>
      </w:sdtPr>
      <w:sdtEndPr>
        <w:rPr>
          <w:rFonts w:hint="eastAsia" w:ascii="Calibri" w:hAnsi="Calibri" w:eastAsia="宋体" w:cs="Arial"/>
          <w:b/>
          <w:bCs/>
          <w:kern w:val="2"/>
          <w:sz w:val="21"/>
          <w:szCs w:val="22"/>
          <w:lang w:val="en-US" w:eastAsia="zh-CN" w:bidi="ar-SA"/>
        </w:rPr>
      </w:sdtEndPr>
      <w:sdtContent>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b/>
              <w:bCs/>
              <w:sz w:val="32"/>
              <w:szCs w:val="32"/>
            </w:rPr>
          </w:pPr>
          <w:r>
            <w:rPr>
              <w:rFonts w:ascii="宋体" w:hAnsi="宋体" w:eastAsia="宋体"/>
              <w:b/>
              <w:bCs/>
              <w:sz w:val="32"/>
              <w:szCs w:val="32"/>
            </w:rPr>
            <w:t>目录</w:t>
          </w:r>
        </w:p>
        <w:p>
          <w:pPr>
            <w:pStyle w:val="36"/>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TOC \o "1-3" \h \u </w:instrText>
          </w:r>
          <w:r>
            <w:rPr>
              <w:rFonts w:hint="eastAsia"/>
              <w:sz w:val="24"/>
              <w:szCs w:val="24"/>
              <w:lang w:eastAsia="zh-CN"/>
            </w:rPr>
            <w:fldChar w:fldCharType="separate"/>
          </w:r>
          <w:r>
            <w:rPr>
              <w:rFonts w:hint="eastAsia"/>
              <w:sz w:val="24"/>
              <w:szCs w:val="24"/>
              <w:lang w:eastAsia="zh-CN"/>
            </w:rPr>
            <w:fldChar w:fldCharType="begin"/>
          </w:r>
          <w:r>
            <w:rPr>
              <w:rFonts w:hint="eastAsia"/>
              <w:sz w:val="24"/>
              <w:szCs w:val="24"/>
              <w:lang w:eastAsia="zh-CN"/>
            </w:rPr>
            <w:instrText xml:space="preserve"> HYPERLINK \l _Toc24195 </w:instrText>
          </w:r>
          <w:r>
            <w:rPr>
              <w:rFonts w:hint="eastAsia"/>
              <w:sz w:val="24"/>
              <w:szCs w:val="24"/>
              <w:lang w:eastAsia="zh-CN"/>
            </w:rPr>
            <w:fldChar w:fldCharType="separate"/>
          </w:r>
          <w:r>
            <w:rPr>
              <w:rFonts w:hint="eastAsia" w:eastAsia="宋体" w:cs="Times New Roman"/>
              <w:bCs/>
              <w:sz w:val="24"/>
              <w:szCs w:val="24"/>
              <w:lang w:val="en-US" w:eastAsia="zh-CN"/>
            </w:rPr>
            <w:t>1</w:t>
          </w:r>
          <w:r>
            <w:rPr>
              <w:rFonts w:hint="default" w:ascii="Times New Roman" w:hAnsi="Times New Roman" w:eastAsia="宋体" w:cs="Times New Roman"/>
              <w:bCs/>
              <w:sz w:val="24"/>
              <w:szCs w:val="24"/>
            </w:rPr>
            <w:t>前</w:t>
          </w:r>
          <w:r>
            <w:rPr>
              <w:rFonts w:hint="default" w:ascii="Times New Roman" w:hAnsi="Times New Roman" w:eastAsia="宋体" w:cs="Times New Roman"/>
              <w:bCs/>
              <w:sz w:val="24"/>
              <w:szCs w:val="24"/>
              <w:lang w:val="en-US" w:eastAsia="zh-CN"/>
            </w:rPr>
            <w:t xml:space="preserve">  </w:t>
          </w:r>
          <w:r>
            <w:rPr>
              <w:rFonts w:hint="default" w:ascii="Times New Roman" w:hAnsi="Times New Roman" w:eastAsia="宋体" w:cs="Times New Roman"/>
              <w:bCs/>
              <w:sz w:val="24"/>
              <w:szCs w:val="24"/>
            </w:rPr>
            <w:t>言</w:t>
          </w:r>
          <w:r>
            <w:rPr>
              <w:sz w:val="24"/>
              <w:szCs w:val="24"/>
            </w:rPr>
            <w:tab/>
          </w:r>
          <w:r>
            <w:rPr>
              <w:sz w:val="24"/>
              <w:szCs w:val="24"/>
            </w:rPr>
            <w:fldChar w:fldCharType="begin"/>
          </w:r>
          <w:r>
            <w:rPr>
              <w:sz w:val="24"/>
              <w:szCs w:val="24"/>
            </w:rPr>
            <w:instrText xml:space="preserve"> PAGEREF _Toc24195 \h </w:instrText>
          </w:r>
          <w:r>
            <w:rPr>
              <w:sz w:val="24"/>
              <w:szCs w:val="24"/>
            </w:rPr>
            <w:fldChar w:fldCharType="separate"/>
          </w:r>
          <w:r>
            <w:rPr>
              <w:sz w:val="24"/>
              <w:szCs w:val="24"/>
            </w:rPr>
            <w:t>1</w:t>
          </w:r>
          <w:r>
            <w:rPr>
              <w:sz w:val="24"/>
              <w:szCs w:val="24"/>
            </w:rPr>
            <w:fldChar w:fldCharType="end"/>
          </w:r>
          <w:r>
            <w:rPr>
              <w:rFonts w:hint="eastAsia"/>
              <w:sz w:val="24"/>
              <w:szCs w:val="24"/>
              <w:lang w:eastAsia="zh-CN"/>
            </w:rPr>
            <w:fldChar w:fldCharType="end"/>
          </w:r>
        </w:p>
        <w:p>
          <w:pPr>
            <w:pStyle w:val="36"/>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_Toc23101 </w:instrText>
          </w:r>
          <w:r>
            <w:rPr>
              <w:rFonts w:hint="eastAsia"/>
              <w:sz w:val="24"/>
              <w:szCs w:val="24"/>
              <w:lang w:eastAsia="zh-CN"/>
            </w:rPr>
            <w:fldChar w:fldCharType="separate"/>
          </w:r>
          <w:r>
            <w:rPr>
              <w:rFonts w:hint="eastAsia" w:eastAsia="宋体" w:cs="Times New Roman"/>
              <w:bCs/>
              <w:sz w:val="24"/>
              <w:szCs w:val="24"/>
              <w:lang w:val="en-US" w:eastAsia="zh-CN"/>
            </w:rPr>
            <w:t>2总则</w:t>
          </w:r>
          <w:r>
            <w:rPr>
              <w:sz w:val="24"/>
              <w:szCs w:val="24"/>
            </w:rPr>
            <w:tab/>
          </w:r>
          <w:r>
            <w:rPr>
              <w:sz w:val="24"/>
              <w:szCs w:val="24"/>
            </w:rPr>
            <w:fldChar w:fldCharType="begin"/>
          </w:r>
          <w:r>
            <w:rPr>
              <w:sz w:val="24"/>
              <w:szCs w:val="24"/>
            </w:rPr>
            <w:instrText xml:space="preserve"> PAGEREF _Toc23101 \h </w:instrText>
          </w:r>
          <w:r>
            <w:rPr>
              <w:sz w:val="24"/>
              <w:szCs w:val="24"/>
            </w:rPr>
            <w:fldChar w:fldCharType="separate"/>
          </w:r>
          <w:r>
            <w:rPr>
              <w:sz w:val="24"/>
              <w:szCs w:val="24"/>
            </w:rPr>
            <w:t>2</w:t>
          </w:r>
          <w:r>
            <w:rPr>
              <w:sz w:val="24"/>
              <w:szCs w:val="24"/>
            </w:rPr>
            <w:fldChar w:fldCharType="end"/>
          </w:r>
          <w:r>
            <w:rPr>
              <w:rFonts w:hint="eastAsia"/>
              <w:sz w:val="24"/>
              <w:szCs w:val="24"/>
              <w:lang w:eastAsia="zh-CN"/>
            </w:rPr>
            <w:fldChar w:fldCharType="end"/>
          </w:r>
        </w:p>
        <w:p>
          <w:pPr>
            <w:pStyle w:val="37"/>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_Toc26793 </w:instrText>
          </w:r>
          <w:r>
            <w:rPr>
              <w:rFonts w:hint="eastAsia"/>
              <w:sz w:val="24"/>
              <w:szCs w:val="24"/>
              <w:lang w:eastAsia="zh-CN"/>
            </w:rPr>
            <w:fldChar w:fldCharType="separate"/>
          </w:r>
          <w:r>
            <w:rPr>
              <w:rFonts w:hint="eastAsia" w:eastAsia="宋体" w:cs="Times New Roman"/>
              <w:sz w:val="24"/>
              <w:szCs w:val="24"/>
              <w:lang w:val="en-US" w:eastAsia="zh-CN"/>
            </w:rPr>
            <w:t>2</w:t>
          </w:r>
          <w:r>
            <w:rPr>
              <w:rFonts w:hint="default" w:ascii="Times New Roman" w:hAnsi="Times New Roman" w:eastAsia="宋体" w:cs="Times New Roman"/>
              <w:sz w:val="24"/>
              <w:szCs w:val="24"/>
            </w:rPr>
            <w:t>.1编制原则</w:t>
          </w:r>
          <w:r>
            <w:rPr>
              <w:sz w:val="24"/>
              <w:szCs w:val="24"/>
            </w:rPr>
            <w:tab/>
          </w:r>
          <w:r>
            <w:rPr>
              <w:sz w:val="24"/>
              <w:szCs w:val="24"/>
            </w:rPr>
            <w:fldChar w:fldCharType="begin"/>
          </w:r>
          <w:r>
            <w:rPr>
              <w:sz w:val="24"/>
              <w:szCs w:val="24"/>
            </w:rPr>
            <w:instrText xml:space="preserve"> PAGEREF _Toc26793 \h </w:instrText>
          </w:r>
          <w:r>
            <w:rPr>
              <w:sz w:val="24"/>
              <w:szCs w:val="24"/>
            </w:rPr>
            <w:fldChar w:fldCharType="separate"/>
          </w:r>
          <w:r>
            <w:rPr>
              <w:sz w:val="24"/>
              <w:szCs w:val="24"/>
            </w:rPr>
            <w:t>2</w:t>
          </w:r>
          <w:r>
            <w:rPr>
              <w:sz w:val="24"/>
              <w:szCs w:val="24"/>
            </w:rPr>
            <w:fldChar w:fldCharType="end"/>
          </w:r>
          <w:r>
            <w:rPr>
              <w:rFonts w:hint="eastAsia"/>
              <w:sz w:val="24"/>
              <w:szCs w:val="24"/>
              <w:lang w:eastAsia="zh-CN"/>
            </w:rPr>
            <w:fldChar w:fldCharType="end"/>
          </w:r>
        </w:p>
        <w:p>
          <w:pPr>
            <w:pStyle w:val="37"/>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_Toc31751 </w:instrText>
          </w:r>
          <w:r>
            <w:rPr>
              <w:rFonts w:hint="eastAsia"/>
              <w:sz w:val="24"/>
              <w:szCs w:val="24"/>
              <w:lang w:eastAsia="zh-CN"/>
            </w:rPr>
            <w:fldChar w:fldCharType="separate"/>
          </w:r>
          <w:r>
            <w:rPr>
              <w:rFonts w:hint="eastAsia" w:eastAsia="宋体" w:cs="Times New Roman"/>
              <w:sz w:val="24"/>
              <w:szCs w:val="24"/>
              <w:lang w:val="en-US" w:eastAsia="zh-CN"/>
            </w:rPr>
            <w:t>2</w:t>
          </w:r>
          <w:r>
            <w:rPr>
              <w:rFonts w:hint="default" w:ascii="Times New Roman" w:hAnsi="Times New Roman" w:eastAsia="宋体" w:cs="Times New Roman"/>
              <w:sz w:val="24"/>
              <w:szCs w:val="24"/>
            </w:rPr>
            <w:t>.2编制依据</w:t>
          </w:r>
          <w:r>
            <w:rPr>
              <w:sz w:val="24"/>
              <w:szCs w:val="24"/>
            </w:rPr>
            <w:tab/>
          </w:r>
          <w:r>
            <w:rPr>
              <w:sz w:val="24"/>
              <w:szCs w:val="24"/>
            </w:rPr>
            <w:fldChar w:fldCharType="begin"/>
          </w:r>
          <w:r>
            <w:rPr>
              <w:sz w:val="24"/>
              <w:szCs w:val="24"/>
            </w:rPr>
            <w:instrText xml:space="preserve"> PAGEREF _Toc31751 \h </w:instrText>
          </w:r>
          <w:r>
            <w:rPr>
              <w:sz w:val="24"/>
              <w:szCs w:val="24"/>
            </w:rPr>
            <w:fldChar w:fldCharType="separate"/>
          </w:r>
          <w:r>
            <w:rPr>
              <w:sz w:val="24"/>
              <w:szCs w:val="24"/>
            </w:rPr>
            <w:t>2</w:t>
          </w:r>
          <w:r>
            <w:rPr>
              <w:sz w:val="24"/>
              <w:szCs w:val="24"/>
            </w:rPr>
            <w:fldChar w:fldCharType="end"/>
          </w:r>
          <w:r>
            <w:rPr>
              <w:rFonts w:hint="eastAsia"/>
              <w:sz w:val="24"/>
              <w:szCs w:val="24"/>
              <w:lang w:eastAsia="zh-CN"/>
            </w:rPr>
            <w:fldChar w:fldCharType="end"/>
          </w:r>
        </w:p>
        <w:p>
          <w:pPr>
            <w:pStyle w:val="38"/>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_Toc31673 </w:instrText>
          </w:r>
          <w:r>
            <w:rPr>
              <w:rFonts w:hint="eastAsia"/>
              <w:sz w:val="24"/>
              <w:szCs w:val="24"/>
              <w:lang w:eastAsia="zh-CN"/>
            </w:rPr>
            <w:fldChar w:fldCharType="separate"/>
          </w:r>
          <w:r>
            <w:rPr>
              <w:rFonts w:hint="eastAsia" w:eastAsia="宋体" w:cs="Times New Roman"/>
              <w:sz w:val="24"/>
              <w:szCs w:val="24"/>
              <w:lang w:val="en-US" w:eastAsia="zh-CN"/>
            </w:rPr>
            <w:t>2</w:t>
          </w:r>
          <w:r>
            <w:rPr>
              <w:rFonts w:hint="default" w:ascii="Times New Roman" w:hAnsi="Times New Roman" w:eastAsia="宋体" w:cs="Times New Roman"/>
              <w:sz w:val="24"/>
              <w:szCs w:val="24"/>
            </w:rPr>
            <w:t>.2.1政策法规</w:t>
          </w:r>
          <w:r>
            <w:rPr>
              <w:sz w:val="24"/>
              <w:szCs w:val="24"/>
            </w:rPr>
            <w:tab/>
          </w:r>
          <w:r>
            <w:rPr>
              <w:sz w:val="24"/>
              <w:szCs w:val="24"/>
            </w:rPr>
            <w:fldChar w:fldCharType="begin"/>
          </w:r>
          <w:r>
            <w:rPr>
              <w:sz w:val="24"/>
              <w:szCs w:val="24"/>
            </w:rPr>
            <w:instrText xml:space="preserve"> PAGEREF _Toc31673 \h </w:instrText>
          </w:r>
          <w:r>
            <w:rPr>
              <w:sz w:val="24"/>
              <w:szCs w:val="24"/>
            </w:rPr>
            <w:fldChar w:fldCharType="separate"/>
          </w:r>
          <w:r>
            <w:rPr>
              <w:sz w:val="24"/>
              <w:szCs w:val="24"/>
            </w:rPr>
            <w:t>2</w:t>
          </w:r>
          <w:r>
            <w:rPr>
              <w:sz w:val="24"/>
              <w:szCs w:val="24"/>
            </w:rPr>
            <w:fldChar w:fldCharType="end"/>
          </w:r>
          <w:r>
            <w:rPr>
              <w:rFonts w:hint="eastAsia"/>
              <w:sz w:val="24"/>
              <w:szCs w:val="24"/>
              <w:lang w:eastAsia="zh-CN"/>
            </w:rPr>
            <w:fldChar w:fldCharType="end"/>
          </w:r>
        </w:p>
        <w:p>
          <w:pPr>
            <w:pStyle w:val="38"/>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_Toc11826 </w:instrText>
          </w:r>
          <w:r>
            <w:rPr>
              <w:rFonts w:hint="eastAsia"/>
              <w:sz w:val="24"/>
              <w:szCs w:val="24"/>
              <w:lang w:eastAsia="zh-CN"/>
            </w:rPr>
            <w:fldChar w:fldCharType="separate"/>
          </w:r>
          <w:r>
            <w:rPr>
              <w:rFonts w:hint="eastAsia" w:eastAsia="宋体" w:cs="Times New Roman"/>
              <w:sz w:val="24"/>
              <w:szCs w:val="24"/>
              <w:lang w:val="en-US" w:eastAsia="zh-CN"/>
            </w:rPr>
            <w:t>2</w:t>
          </w:r>
          <w:r>
            <w:rPr>
              <w:rFonts w:hint="default" w:ascii="Times New Roman" w:hAnsi="Times New Roman" w:eastAsia="宋体" w:cs="Times New Roman"/>
              <w:sz w:val="24"/>
              <w:szCs w:val="24"/>
            </w:rPr>
            <w:t>.2.2技术规范、标准</w:t>
          </w:r>
          <w:r>
            <w:rPr>
              <w:sz w:val="24"/>
              <w:szCs w:val="24"/>
            </w:rPr>
            <w:tab/>
          </w:r>
          <w:r>
            <w:rPr>
              <w:sz w:val="24"/>
              <w:szCs w:val="24"/>
            </w:rPr>
            <w:fldChar w:fldCharType="begin"/>
          </w:r>
          <w:r>
            <w:rPr>
              <w:sz w:val="24"/>
              <w:szCs w:val="24"/>
            </w:rPr>
            <w:instrText xml:space="preserve"> PAGEREF _Toc11826 \h </w:instrText>
          </w:r>
          <w:r>
            <w:rPr>
              <w:sz w:val="24"/>
              <w:szCs w:val="24"/>
            </w:rPr>
            <w:fldChar w:fldCharType="separate"/>
          </w:r>
          <w:r>
            <w:rPr>
              <w:sz w:val="24"/>
              <w:szCs w:val="24"/>
            </w:rPr>
            <w:t>3</w:t>
          </w:r>
          <w:r>
            <w:rPr>
              <w:sz w:val="24"/>
              <w:szCs w:val="24"/>
            </w:rPr>
            <w:fldChar w:fldCharType="end"/>
          </w:r>
          <w:r>
            <w:rPr>
              <w:rFonts w:hint="eastAsia"/>
              <w:sz w:val="24"/>
              <w:szCs w:val="24"/>
              <w:lang w:eastAsia="zh-CN"/>
            </w:rPr>
            <w:fldChar w:fldCharType="end"/>
          </w:r>
        </w:p>
        <w:p>
          <w:pPr>
            <w:pStyle w:val="38"/>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_Toc9547 </w:instrText>
          </w:r>
          <w:r>
            <w:rPr>
              <w:rFonts w:hint="eastAsia"/>
              <w:sz w:val="24"/>
              <w:szCs w:val="24"/>
              <w:lang w:eastAsia="zh-CN"/>
            </w:rPr>
            <w:fldChar w:fldCharType="separate"/>
          </w:r>
          <w:r>
            <w:rPr>
              <w:rFonts w:hint="eastAsia" w:eastAsia="宋体" w:cs="Times New Roman"/>
              <w:sz w:val="24"/>
              <w:szCs w:val="24"/>
              <w:lang w:val="en-US" w:eastAsia="zh-CN"/>
            </w:rPr>
            <w:t>2</w:t>
          </w:r>
          <w:r>
            <w:rPr>
              <w:rFonts w:hint="default" w:ascii="Times New Roman" w:hAnsi="Times New Roman" w:eastAsia="宋体" w:cs="Times New Roman"/>
              <w:sz w:val="24"/>
              <w:szCs w:val="24"/>
            </w:rPr>
            <w:t>.2.3其他参考资料</w:t>
          </w:r>
          <w:r>
            <w:rPr>
              <w:sz w:val="24"/>
              <w:szCs w:val="24"/>
            </w:rPr>
            <w:tab/>
          </w:r>
          <w:r>
            <w:rPr>
              <w:sz w:val="24"/>
              <w:szCs w:val="24"/>
            </w:rPr>
            <w:fldChar w:fldCharType="begin"/>
          </w:r>
          <w:r>
            <w:rPr>
              <w:sz w:val="24"/>
              <w:szCs w:val="24"/>
            </w:rPr>
            <w:instrText xml:space="preserve"> PAGEREF _Toc9547 \h </w:instrText>
          </w:r>
          <w:r>
            <w:rPr>
              <w:sz w:val="24"/>
              <w:szCs w:val="24"/>
            </w:rPr>
            <w:fldChar w:fldCharType="separate"/>
          </w:r>
          <w:r>
            <w:rPr>
              <w:sz w:val="24"/>
              <w:szCs w:val="24"/>
            </w:rPr>
            <w:t>3</w:t>
          </w:r>
          <w:r>
            <w:rPr>
              <w:sz w:val="24"/>
              <w:szCs w:val="24"/>
            </w:rPr>
            <w:fldChar w:fldCharType="end"/>
          </w:r>
          <w:r>
            <w:rPr>
              <w:rFonts w:hint="eastAsia"/>
              <w:sz w:val="24"/>
              <w:szCs w:val="24"/>
              <w:lang w:eastAsia="zh-CN"/>
            </w:rPr>
            <w:fldChar w:fldCharType="end"/>
          </w:r>
        </w:p>
        <w:p>
          <w:pPr>
            <w:pStyle w:val="37"/>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_Toc27367 </w:instrText>
          </w:r>
          <w:r>
            <w:rPr>
              <w:rFonts w:hint="eastAsia"/>
              <w:sz w:val="24"/>
              <w:szCs w:val="24"/>
              <w:lang w:eastAsia="zh-CN"/>
            </w:rPr>
            <w:fldChar w:fldCharType="separate"/>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.3企业环境风险评估程序</w:t>
          </w:r>
          <w:r>
            <w:rPr>
              <w:sz w:val="24"/>
              <w:szCs w:val="24"/>
            </w:rPr>
            <w:tab/>
          </w:r>
          <w:r>
            <w:rPr>
              <w:sz w:val="24"/>
              <w:szCs w:val="24"/>
            </w:rPr>
            <w:fldChar w:fldCharType="begin"/>
          </w:r>
          <w:r>
            <w:rPr>
              <w:sz w:val="24"/>
              <w:szCs w:val="24"/>
            </w:rPr>
            <w:instrText xml:space="preserve"> PAGEREF _Toc27367 \h </w:instrText>
          </w:r>
          <w:r>
            <w:rPr>
              <w:sz w:val="24"/>
              <w:szCs w:val="24"/>
            </w:rPr>
            <w:fldChar w:fldCharType="separate"/>
          </w:r>
          <w:r>
            <w:rPr>
              <w:sz w:val="24"/>
              <w:szCs w:val="24"/>
            </w:rPr>
            <w:t>4</w:t>
          </w:r>
          <w:r>
            <w:rPr>
              <w:sz w:val="24"/>
              <w:szCs w:val="24"/>
            </w:rPr>
            <w:fldChar w:fldCharType="end"/>
          </w:r>
          <w:r>
            <w:rPr>
              <w:rFonts w:hint="eastAsia"/>
              <w:sz w:val="24"/>
              <w:szCs w:val="24"/>
              <w:lang w:eastAsia="zh-CN"/>
            </w:rPr>
            <w:fldChar w:fldCharType="end"/>
          </w:r>
        </w:p>
        <w:p>
          <w:pPr>
            <w:pStyle w:val="36"/>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_Toc22027 </w:instrText>
          </w:r>
          <w:r>
            <w:rPr>
              <w:rFonts w:hint="eastAsia"/>
              <w:sz w:val="24"/>
              <w:szCs w:val="24"/>
              <w:lang w:eastAsia="zh-CN"/>
            </w:rPr>
            <w:fldChar w:fldCharType="separate"/>
          </w:r>
          <w:r>
            <w:rPr>
              <w:rFonts w:hint="eastAsia" w:eastAsia="宋体" w:cs="Times New Roman"/>
              <w:bCs/>
              <w:sz w:val="24"/>
              <w:szCs w:val="24"/>
              <w:lang w:val="en-US" w:eastAsia="zh-CN"/>
            </w:rPr>
            <w:t>3资料准备与环境风险识别</w:t>
          </w:r>
          <w:r>
            <w:rPr>
              <w:sz w:val="24"/>
              <w:szCs w:val="24"/>
            </w:rPr>
            <w:tab/>
          </w:r>
          <w:r>
            <w:rPr>
              <w:sz w:val="24"/>
              <w:szCs w:val="24"/>
            </w:rPr>
            <w:fldChar w:fldCharType="begin"/>
          </w:r>
          <w:r>
            <w:rPr>
              <w:sz w:val="24"/>
              <w:szCs w:val="24"/>
            </w:rPr>
            <w:instrText xml:space="preserve"> PAGEREF _Toc22027 \h </w:instrText>
          </w:r>
          <w:r>
            <w:rPr>
              <w:sz w:val="24"/>
              <w:szCs w:val="24"/>
            </w:rPr>
            <w:fldChar w:fldCharType="separate"/>
          </w:r>
          <w:r>
            <w:rPr>
              <w:sz w:val="24"/>
              <w:szCs w:val="24"/>
            </w:rPr>
            <w:t>5</w:t>
          </w:r>
          <w:r>
            <w:rPr>
              <w:sz w:val="24"/>
              <w:szCs w:val="24"/>
            </w:rPr>
            <w:fldChar w:fldCharType="end"/>
          </w:r>
          <w:r>
            <w:rPr>
              <w:rFonts w:hint="eastAsia"/>
              <w:sz w:val="24"/>
              <w:szCs w:val="24"/>
              <w:lang w:eastAsia="zh-CN"/>
            </w:rPr>
            <w:fldChar w:fldCharType="end"/>
          </w:r>
        </w:p>
        <w:p>
          <w:pPr>
            <w:pStyle w:val="37"/>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_Toc27300 </w:instrText>
          </w:r>
          <w:r>
            <w:rPr>
              <w:rFonts w:hint="eastAsia"/>
              <w:sz w:val="24"/>
              <w:szCs w:val="24"/>
              <w:lang w:eastAsia="zh-CN"/>
            </w:rPr>
            <w:fldChar w:fldCharType="separate"/>
          </w:r>
          <w:r>
            <w:rPr>
              <w:rFonts w:hint="eastAsia" w:eastAsia="宋体" w:cs="Times New Roman"/>
              <w:sz w:val="24"/>
              <w:szCs w:val="24"/>
              <w:lang w:val="en-US" w:eastAsia="zh-CN"/>
            </w:rPr>
            <w:t>3</w:t>
          </w:r>
          <w:r>
            <w:rPr>
              <w:rFonts w:hint="default" w:ascii="Times New Roman" w:hAnsi="Times New Roman" w:eastAsia="宋体" w:cs="Times New Roman"/>
              <w:sz w:val="24"/>
              <w:szCs w:val="24"/>
            </w:rPr>
            <w:t>.1企业信息</w:t>
          </w:r>
          <w:r>
            <w:rPr>
              <w:sz w:val="24"/>
              <w:szCs w:val="24"/>
            </w:rPr>
            <w:tab/>
          </w:r>
          <w:r>
            <w:rPr>
              <w:sz w:val="24"/>
              <w:szCs w:val="24"/>
            </w:rPr>
            <w:fldChar w:fldCharType="begin"/>
          </w:r>
          <w:r>
            <w:rPr>
              <w:sz w:val="24"/>
              <w:szCs w:val="24"/>
            </w:rPr>
            <w:instrText xml:space="preserve"> PAGEREF _Toc27300 \h </w:instrText>
          </w:r>
          <w:r>
            <w:rPr>
              <w:sz w:val="24"/>
              <w:szCs w:val="24"/>
            </w:rPr>
            <w:fldChar w:fldCharType="separate"/>
          </w:r>
          <w:r>
            <w:rPr>
              <w:sz w:val="24"/>
              <w:szCs w:val="24"/>
            </w:rPr>
            <w:t>5</w:t>
          </w:r>
          <w:r>
            <w:rPr>
              <w:sz w:val="24"/>
              <w:szCs w:val="24"/>
            </w:rPr>
            <w:fldChar w:fldCharType="end"/>
          </w:r>
          <w:r>
            <w:rPr>
              <w:rFonts w:hint="eastAsia"/>
              <w:sz w:val="24"/>
              <w:szCs w:val="24"/>
              <w:lang w:eastAsia="zh-CN"/>
            </w:rPr>
            <w:fldChar w:fldCharType="end"/>
          </w:r>
        </w:p>
        <w:p>
          <w:pPr>
            <w:pStyle w:val="38"/>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_Toc19712 </w:instrText>
          </w:r>
          <w:r>
            <w:rPr>
              <w:rFonts w:hint="eastAsia"/>
              <w:sz w:val="24"/>
              <w:szCs w:val="24"/>
              <w:lang w:eastAsia="zh-CN"/>
            </w:rPr>
            <w:fldChar w:fldCharType="separate"/>
          </w:r>
          <w:r>
            <w:rPr>
              <w:rFonts w:hint="eastAsia" w:eastAsia="宋体" w:cs="Times New Roman"/>
              <w:sz w:val="24"/>
              <w:szCs w:val="24"/>
              <w:lang w:val="en-US" w:eastAsia="zh-CN"/>
            </w:rPr>
            <w:t>3.</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.1</w:t>
          </w:r>
          <w:r>
            <w:rPr>
              <w:rFonts w:hint="eastAsia" w:ascii="Times New Roman" w:hAnsi="Times New Roman" w:eastAsia="宋体" w:cs="Times New Roman"/>
              <w:sz w:val="24"/>
              <w:szCs w:val="24"/>
              <w:lang w:eastAsia="zh-CN"/>
            </w:rPr>
            <w:t>企业基本信息</w:t>
          </w:r>
          <w:r>
            <w:rPr>
              <w:sz w:val="24"/>
              <w:szCs w:val="24"/>
            </w:rPr>
            <w:tab/>
          </w:r>
          <w:r>
            <w:rPr>
              <w:sz w:val="24"/>
              <w:szCs w:val="24"/>
            </w:rPr>
            <w:fldChar w:fldCharType="begin"/>
          </w:r>
          <w:r>
            <w:rPr>
              <w:sz w:val="24"/>
              <w:szCs w:val="24"/>
            </w:rPr>
            <w:instrText xml:space="preserve"> PAGEREF _Toc19712 \h </w:instrText>
          </w:r>
          <w:r>
            <w:rPr>
              <w:sz w:val="24"/>
              <w:szCs w:val="24"/>
            </w:rPr>
            <w:fldChar w:fldCharType="separate"/>
          </w:r>
          <w:r>
            <w:rPr>
              <w:sz w:val="24"/>
              <w:szCs w:val="24"/>
            </w:rPr>
            <w:t>5</w:t>
          </w:r>
          <w:r>
            <w:rPr>
              <w:sz w:val="24"/>
              <w:szCs w:val="24"/>
            </w:rPr>
            <w:fldChar w:fldCharType="end"/>
          </w:r>
          <w:r>
            <w:rPr>
              <w:rFonts w:hint="eastAsia"/>
              <w:sz w:val="24"/>
              <w:szCs w:val="24"/>
              <w:lang w:eastAsia="zh-CN"/>
            </w:rPr>
            <w:fldChar w:fldCharType="end"/>
          </w:r>
        </w:p>
        <w:p>
          <w:pPr>
            <w:pStyle w:val="38"/>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_Toc7910 </w:instrText>
          </w:r>
          <w:r>
            <w:rPr>
              <w:rFonts w:hint="eastAsia"/>
              <w:sz w:val="24"/>
              <w:szCs w:val="24"/>
              <w:lang w:eastAsia="zh-CN"/>
            </w:rPr>
            <w:fldChar w:fldCharType="separate"/>
          </w:r>
          <w:r>
            <w:rPr>
              <w:rFonts w:hint="eastAsia" w:ascii="Times New Roman" w:hAnsi="Times New Roman" w:eastAsia="宋体" w:cs="Times New Roman"/>
              <w:sz w:val="24"/>
              <w:szCs w:val="24"/>
              <w:lang w:val="en-US" w:eastAsia="zh-CN"/>
            </w:rPr>
            <w:t>3.1</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2产品方案</w:t>
          </w:r>
          <w:r>
            <w:rPr>
              <w:sz w:val="24"/>
              <w:szCs w:val="24"/>
            </w:rPr>
            <w:tab/>
          </w:r>
          <w:r>
            <w:rPr>
              <w:sz w:val="24"/>
              <w:szCs w:val="24"/>
            </w:rPr>
            <w:fldChar w:fldCharType="begin"/>
          </w:r>
          <w:r>
            <w:rPr>
              <w:sz w:val="24"/>
              <w:szCs w:val="24"/>
            </w:rPr>
            <w:instrText xml:space="preserve"> PAGEREF _Toc7910 \h </w:instrText>
          </w:r>
          <w:r>
            <w:rPr>
              <w:sz w:val="24"/>
              <w:szCs w:val="24"/>
            </w:rPr>
            <w:fldChar w:fldCharType="separate"/>
          </w:r>
          <w:r>
            <w:rPr>
              <w:sz w:val="24"/>
              <w:szCs w:val="24"/>
            </w:rPr>
            <w:t>6</w:t>
          </w:r>
          <w:r>
            <w:rPr>
              <w:sz w:val="24"/>
              <w:szCs w:val="24"/>
            </w:rPr>
            <w:fldChar w:fldCharType="end"/>
          </w:r>
          <w:r>
            <w:rPr>
              <w:rFonts w:hint="eastAsia"/>
              <w:sz w:val="24"/>
              <w:szCs w:val="24"/>
              <w:lang w:eastAsia="zh-CN"/>
            </w:rPr>
            <w:fldChar w:fldCharType="end"/>
          </w:r>
        </w:p>
        <w:p>
          <w:pPr>
            <w:pStyle w:val="38"/>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_Toc29176 </w:instrText>
          </w:r>
          <w:r>
            <w:rPr>
              <w:rFonts w:hint="eastAsia"/>
              <w:sz w:val="24"/>
              <w:szCs w:val="24"/>
              <w:lang w:eastAsia="zh-CN"/>
            </w:rPr>
            <w:fldChar w:fldCharType="separate"/>
          </w:r>
          <w:r>
            <w:rPr>
              <w:rFonts w:hint="eastAsia" w:ascii="Times New Roman" w:hAnsi="Times New Roman" w:eastAsia="宋体" w:cs="Times New Roman"/>
              <w:sz w:val="24"/>
              <w:szCs w:val="24"/>
              <w:lang w:val="en-US" w:eastAsia="zh-CN"/>
            </w:rPr>
            <w:t>3.1</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3主要设备情况</w:t>
          </w:r>
          <w:r>
            <w:rPr>
              <w:sz w:val="24"/>
              <w:szCs w:val="24"/>
            </w:rPr>
            <w:tab/>
          </w:r>
          <w:r>
            <w:rPr>
              <w:sz w:val="24"/>
              <w:szCs w:val="24"/>
            </w:rPr>
            <w:fldChar w:fldCharType="begin"/>
          </w:r>
          <w:r>
            <w:rPr>
              <w:sz w:val="24"/>
              <w:szCs w:val="24"/>
            </w:rPr>
            <w:instrText xml:space="preserve"> PAGEREF _Toc29176 \h </w:instrText>
          </w:r>
          <w:r>
            <w:rPr>
              <w:sz w:val="24"/>
              <w:szCs w:val="24"/>
            </w:rPr>
            <w:fldChar w:fldCharType="separate"/>
          </w:r>
          <w:r>
            <w:rPr>
              <w:sz w:val="24"/>
              <w:szCs w:val="24"/>
            </w:rPr>
            <w:t>7</w:t>
          </w:r>
          <w:r>
            <w:rPr>
              <w:sz w:val="24"/>
              <w:szCs w:val="24"/>
            </w:rPr>
            <w:fldChar w:fldCharType="end"/>
          </w:r>
          <w:r>
            <w:rPr>
              <w:rFonts w:hint="eastAsia"/>
              <w:sz w:val="24"/>
              <w:szCs w:val="24"/>
              <w:lang w:eastAsia="zh-CN"/>
            </w:rPr>
            <w:fldChar w:fldCharType="end"/>
          </w:r>
        </w:p>
        <w:p>
          <w:pPr>
            <w:pStyle w:val="38"/>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_Toc17252 </w:instrText>
          </w:r>
          <w:r>
            <w:rPr>
              <w:rFonts w:hint="eastAsia"/>
              <w:sz w:val="24"/>
              <w:szCs w:val="24"/>
              <w:lang w:eastAsia="zh-CN"/>
            </w:rPr>
            <w:fldChar w:fldCharType="separate"/>
          </w:r>
          <w:r>
            <w:rPr>
              <w:rFonts w:hint="eastAsia" w:ascii="Times New Roman" w:hAnsi="Times New Roman" w:eastAsia="宋体" w:cs="Times New Roman"/>
              <w:sz w:val="24"/>
              <w:szCs w:val="24"/>
              <w:lang w:val="en-US" w:eastAsia="zh-CN"/>
            </w:rPr>
            <w:t>3.1</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4生产工艺</w:t>
          </w:r>
          <w:r>
            <w:rPr>
              <w:sz w:val="24"/>
              <w:szCs w:val="24"/>
            </w:rPr>
            <w:tab/>
          </w:r>
          <w:r>
            <w:rPr>
              <w:sz w:val="24"/>
              <w:szCs w:val="24"/>
            </w:rPr>
            <w:fldChar w:fldCharType="begin"/>
          </w:r>
          <w:r>
            <w:rPr>
              <w:sz w:val="24"/>
              <w:szCs w:val="24"/>
            </w:rPr>
            <w:instrText xml:space="preserve"> PAGEREF _Toc17252 \h </w:instrText>
          </w:r>
          <w:r>
            <w:rPr>
              <w:sz w:val="24"/>
              <w:szCs w:val="24"/>
            </w:rPr>
            <w:fldChar w:fldCharType="separate"/>
          </w:r>
          <w:r>
            <w:rPr>
              <w:sz w:val="24"/>
              <w:szCs w:val="24"/>
            </w:rPr>
            <w:t>7</w:t>
          </w:r>
          <w:r>
            <w:rPr>
              <w:sz w:val="24"/>
              <w:szCs w:val="24"/>
            </w:rPr>
            <w:fldChar w:fldCharType="end"/>
          </w:r>
          <w:r>
            <w:rPr>
              <w:rFonts w:hint="eastAsia"/>
              <w:sz w:val="24"/>
              <w:szCs w:val="24"/>
              <w:lang w:eastAsia="zh-CN"/>
            </w:rPr>
            <w:fldChar w:fldCharType="end"/>
          </w:r>
        </w:p>
        <w:p>
          <w:pPr>
            <w:pStyle w:val="38"/>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_Toc16489 </w:instrText>
          </w:r>
          <w:r>
            <w:rPr>
              <w:rFonts w:hint="eastAsia"/>
              <w:sz w:val="24"/>
              <w:szCs w:val="24"/>
              <w:lang w:eastAsia="zh-CN"/>
            </w:rPr>
            <w:fldChar w:fldCharType="separate"/>
          </w:r>
          <w:r>
            <w:rPr>
              <w:rFonts w:hint="eastAsia" w:ascii="Times New Roman" w:hAnsi="Times New Roman" w:eastAsia="宋体" w:cs="Times New Roman"/>
              <w:sz w:val="24"/>
              <w:szCs w:val="24"/>
              <w:lang w:val="en-US" w:eastAsia="zh-CN"/>
            </w:rPr>
            <w:t>3.1</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5本公司污染物产生及处理情况</w:t>
          </w:r>
          <w:r>
            <w:rPr>
              <w:sz w:val="24"/>
              <w:szCs w:val="24"/>
            </w:rPr>
            <w:tab/>
          </w:r>
          <w:r>
            <w:rPr>
              <w:sz w:val="24"/>
              <w:szCs w:val="24"/>
            </w:rPr>
            <w:fldChar w:fldCharType="begin"/>
          </w:r>
          <w:r>
            <w:rPr>
              <w:sz w:val="24"/>
              <w:szCs w:val="24"/>
            </w:rPr>
            <w:instrText xml:space="preserve"> PAGEREF _Toc16489 \h </w:instrText>
          </w:r>
          <w:r>
            <w:rPr>
              <w:sz w:val="24"/>
              <w:szCs w:val="24"/>
            </w:rPr>
            <w:fldChar w:fldCharType="separate"/>
          </w:r>
          <w:r>
            <w:rPr>
              <w:sz w:val="24"/>
              <w:szCs w:val="24"/>
            </w:rPr>
            <w:t>10</w:t>
          </w:r>
          <w:r>
            <w:rPr>
              <w:sz w:val="24"/>
              <w:szCs w:val="24"/>
            </w:rPr>
            <w:fldChar w:fldCharType="end"/>
          </w:r>
          <w:r>
            <w:rPr>
              <w:rFonts w:hint="eastAsia"/>
              <w:sz w:val="24"/>
              <w:szCs w:val="24"/>
              <w:lang w:eastAsia="zh-CN"/>
            </w:rPr>
            <w:fldChar w:fldCharType="end"/>
          </w:r>
        </w:p>
        <w:p>
          <w:pPr>
            <w:pStyle w:val="38"/>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_Toc2954 </w:instrText>
          </w:r>
          <w:r>
            <w:rPr>
              <w:rFonts w:hint="eastAsia"/>
              <w:sz w:val="24"/>
              <w:szCs w:val="24"/>
              <w:lang w:eastAsia="zh-CN"/>
            </w:rPr>
            <w:fldChar w:fldCharType="separate"/>
          </w:r>
          <w:r>
            <w:rPr>
              <w:rFonts w:hint="eastAsia" w:ascii="Times New Roman" w:hAnsi="Times New Roman" w:eastAsia="宋体" w:cs="Times New Roman"/>
              <w:sz w:val="24"/>
              <w:szCs w:val="24"/>
              <w:lang w:val="en-US" w:eastAsia="zh-CN"/>
            </w:rPr>
            <w:t>3.1</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6自然概况</w:t>
          </w:r>
          <w:r>
            <w:rPr>
              <w:sz w:val="24"/>
              <w:szCs w:val="24"/>
            </w:rPr>
            <w:tab/>
          </w:r>
          <w:r>
            <w:rPr>
              <w:sz w:val="24"/>
              <w:szCs w:val="24"/>
            </w:rPr>
            <w:fldChar w:fldCharType="begin"/>
          </w:r>
          <w:r>
            <w:rPr>
              <w:sz w:val="24"/>
              <w:szCs w:val="24"/>
            </w:rPr>
            <w:instrText xml:space="preserve"> PAGEREF _Toc2954 \h </w:instrText>
          </w:r>
          <w:r>
            <w:rPr>
              <w:sz w:val="24"/>
              <w:szCs w:val="24"/>
            </w:rPr>
            <w:fldChar w:fldCharType="separate"/>
          </w:r>
          <w:r>
            <w:rPr>
              <w:sz w:val="24"/>
              <w:szCs w:val="24"/>
            </w:rPr>
            <w:t>12</w:t>
          </w:r>
          <w:r>
            <w:rPr>
              <w:sz w:val="24"/>
              <w:szCs w:val="24"/>
            </w:rPr>
            <w:fldChar w:fldCharType="end"/>
          </w:r>
          <w:r>
            <w:rPr>
              <w:rFonts w:hint="eastAsia"/>
              <w:sz w:val="24"/>
              <w:szCs w:val="24"/>
              <w:lang w:eastAsia="zh-CN"/>
            </w:rPr>
            <w:fldChar w:fldCharType="end"/>
          </w:r>
        </w:p>
        <w:p>
          <w:pPr>
            <w:pStyle w:val="38"/>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_Toc1046 </w:instrText>
          </w:r>
          <w:r>
            <w:rPr>
              <w:rFonts w:hint="eastAsia"/>
              <w:sz w:val="24"/>
              <w:szCs w:val="24"/>
              <w:lang w:eastAsia="zh-CN"/>
            </w:rPr>
            <w:fldChar w:fldCharType="separate"/>
          </w:r>
          <w:r>
            <w:rPr>
              <w:rFonts w:hint="eastAsia" w:ascii="Times New Roman" w:hAnsi="Times New Roman" w:eastAsia="宋体" w:cs="Times New Roman"/>
              <w:sz w:val="24"/>
              <w:szCs w:val="24"/>
              <w:lang w:val="en-US" w:eastAsia="zh-CN"/>
            </w:rPr>
            <w:t>3.1</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7环境功能区规划</w:t>
          </w:r>
          <w:r>
            <w:rPr>
              <w:sz w:val="24"/>
              <w:szCs w:val="24"/>
            </w:rPr>
            <w:tab/>
          </w:r>
          <w:r>
            <w:rPr>
              <w:sz w:val="24"/>
              <w:szCs w:val="24"/>
            </w:rPr>
            <w:fldChar w:fldCharType="begin"/>
          </w:r>
          <w:r>
            <w:rPr>
              <w:sz w:val="24"/>
              <w:szCs w:val="24"/>
            </w:rPr>
            <w:instrText xml:space="preserve"> PAGEREF _Toc1046 \h </w:instrText>
          </w:r>
          <w:r>
            <w:rPr>
              <w:sz w:val="24"/>
              <w:szCs w:val="24"/>
            </w:rPr>
            <w:fldChar w:fldCharType="separate"/>
          </w:r>
          <w:r>
            <w:rPr>
              <w:sz w:val="24"/>
              <w:szCs w:val="24"/>
            </w:rPr>
            <w:t>12</w:t>
          </w:r>
          <w:r>
            <w:rPr>
              <w:sz w:val="24"/>
              <w:szCs w:val="24"/>
            </w:rPr>
            <w:fldChar w:fldCharType="end"/>
          </w:r>
          <w:r>
            <w:rPr>
              <w:rFonts w:hint="eastAsia"/>
              <w:sz w:val="24"/>
              <w:szCs w:val="24"/>
              <w:lang w:eastAsia="zh-CN"/>
            </w:rPr>
            <w:fldChar w:fldCharType="end"/>
          </w:r>
        </w:p>
        <w:p>
          <w:pPr>
            <w:pStyle w:val="37"/>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_Toc7806 </w:instrText>
          </w:r>
          <w:r>
            <w:rPr>
              <w:rFonts w:hint="eastAsia"/>
              <w:sz w:val="24"/>
              <w:szCs w:val="24"/>
              <w:lang w:eastAsia="zh-CN"/>
            </w:rPr>
            <w:fldChar w:fldCharType="separate"/>
          </w:r>
          <w:r>
            <w:rPr>
              <w:rFonts w:hint="eastAsia" w:eastAsia="宋体" w:cs="Times New Roman"/>
              <w:sz w:val="24"/>
              <w:szCs w:val="24"/>
              <w:lang w:val="en-US" w:eastAsia="zh-CN"/>
            </w:rPr>
            <w:t>3</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2企业周边环境风险受体情况</w:t>
          </w:r>
          <w:r>
            <w:rPr>
              <w:sz w:val="24"/>
              <w:szCs w:val="24"/>
            </w:rPr>
            <w:tab/>
          </w:r>
          <w:r>
            <w:rPr>
              <w:sz w:val="24"/>
              <w:szCs w:val="24"/>
            </w:rPr>
            <w:fldChar w:fldCharType="begin"/>
          </w:r>
          <w:r>
            <w:rPr>
              <w:sz w:val="24"/>
              <w:szCs w:val="24"/>
            </w:rPr>
            <w:instrText xml:space="preserve"> PAGEREF _Toc7806 \h </w:instrText>
          </w:r>
          <w:r>
            <w:rPr>
              <w:sz w:val="24"/>
              <w:szCs w:val="24"/>
            </w:rPr>
            <w:fldChar w:fldCharType="separate"/>
          </w:r>
          <w:r>
            <w:rPr>
              <w:sz w:val="24"/>
              <w:szCs w:val="24"/>
            </w:rPr>
            <w:t>13</w:t>
          </w:r>
          <w:r>
            <w:rPr>
              <w:sz w:val="24"/>
              <w:szCs w:val="24"/>
            </w:rPr>
            <w:fldChar w:fldCharType="end"/>
          </w:r>
          <w:r>
            <w:rPr>
              <w:rFonts w:hint="eastAsia"/>
              <w:sz w:val="24"/>
              <w:szCs w:val="24"/>
              <w:lang w:eastAsia="zh-CN"/>
            </w:rPr>
            <w:fldChar w:fldCharType="end"/>
          </w:r>
        </w:p>
        <w:p>
          <w:pPr>
            <w:pStyle w:val="37"/>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_Toc7760 </w:instrText>
          </w:r>
          <w:r>
            <w:rPr>
              <w:rFonts w:hint="eastAsia"/>
              <w:sz w:val="24"/>
              <w:szCs w:val="24"/>
              <w:lang w:eastAsia="zh-CN"/>
            </w:rPr>
            <w:fldChar w:fldCharType="separate"/>
          </w:r>
          <w:r>
            <w:rPr>
              <w:rFonts w:hint="eastAsia" w:eastAsia="宋体" w:cs="Times New Roman"/>
              <w:sz w:val="24"/>
              <w:szCs w:val="24"/>
              <w:lang w:val="en-US" w:eastAsia="zh-CN"/>
            </w:rPr>
            <w:t>3</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3涉及环境风险物质情况</w:t>
          </w:r>
          <w:r>
            <w:rPr>
              <w:sz w:val="24"/>
              <w:szCs w:val="24"/>
            </w:rPr>
            <w:tab/>
          </w:r>
          <w:r>
            <w:rPr>
              <w:sz w:val="24"/>
              <w:szCs w:val="24"/>
            </w:rPr>
            <w:fldChar w:fldCharType="begin"/>
          </w:r>
          <w:r>
            <w:rPr>
              <w:sz w:val="24"/>
              <w:szCs w:val="24"/>
            </w:rPr>
            <w:instrText xml:space="preserve"> PAGEREF _Toc7760 \h </w:instrText>
          </w:r>
          <w:r>
            <w:rPr>
              <w:sz w:val="24"/>
              <w:szCs w:val="24"/>
            </w:rPr>
            <w:fldChar w:fldCharType="separate"/>
          </w:r>
          <w:r>
            <w:rPr>
              <w:sz w:val="24"/>
              <w:szCs w:val="24"/>
            </w:rPr>
            <w:t>15</w:t>
          </w:r>
          <w:r>
            <w:rPr>
              <w:sz w:val="24"/>
              <w:szCs w:val="24"/>
            </w:rPr>
            <w:fldChar w:fldCharType="end"/>
          </w:r>
          <w:r>
            <w:rPr>
              <w:rFonts w:hint="eastAsia"/>
              <w:sz w:val="24"/>
              <w:szCs w:val="24"/>
              <w:lang w:eastAsia="zh-CN"/>
            </w:rPr>
            <w:fldChar w:fldCharType="end"/>
          </w:r>
        </w:p>
        <w:p>
          <w:pPr>
            <w:pStyle w:val="38"/>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_Toc12267 </w:instrText>
          </w:r>
          <w:r>
            <w:rPr>
              <w:rFonts w:hint="eastAsia"/>
              <w:sz w:val="24"/>
              <w:szCs w:val="24"/>
              <w:lang w:eastAsia="zh-CN"/>
            </w:rPr>
            <w:fldChar w:fldCharType="separate"/>
          </w:r>
          <w:r>
            <w:rPr>
              <w:rFonts w:hint="eastAsia" w:eastAsia="宋体" w:cs="Times New Roman"/>
              <w:sz w:val="24"/>
              <w:szCs w:val="24"/>
              <w:lang w:val="en-US" w:eastAsia="zh-CN"/>
            </w:rPr>
            <w:t>3.</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.1涉及风险物质统计</w:t>
          </w:r>
          <w:r>
            <w:rPr>
              <w:sz w:val="24"/>
              <w:szCs w:val="24"/>
            </w:rPr>
            <w:tab/>
          </w:r>
          <w:r>
            <w:rPr>
              <w:sz w:val="24"/>
              <w:szCs w:val="24"/>
            </w:rPr>
            <w:fldChar w:fldCharType="begin"/>
          </w:r>
          <w:r>
            <w:rPr>
              <w:sz w:val="24"/>
              <w:szCs w:val="24"/>
            </w:rPr>
            <w:instrText xml:space="preserve"> PAGEREF _Toc12267 \h </w:instrText>
          </w:r>
          <w:r>
            <w:rPr>
              <w:sz w:val="24"/>
              <w:szCs w:val="24"/>
            </w:rPr>
            <w:fldChar w:fldCharType="separate"/>
          </w:r>
          <w:r>
            <w:rPr>
              <w:sz w:val="24"/>
              <w:szCs w:val="24"/>
            </w:rPr>
            <w:t>15</w:t>
          </w:r>
          <w:r>
            <w:rPr>
              <w:sz w:val="24"/>
              <w:szCs w:val="24"/>
            </w:rPr>
            <w:fldChar w:fldCharType="end"/>
          </w:r>
          <w:r>
            <w:rPr>
              <w:rFonts w:hint="eastAsia"/>
              <w:sz w:val="24"/>
              <w:szCs w:val="24"/>
              <w:lang w:eastAsia="zh-CN"/>
            </w:rPr>
            <w:fldChar w:fldCharType="end"/>
          </w:r>
        </w:p>
        <w:p>
          <w:pPr>
            <w:pStyle w:val="38"/>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_Toc3410 </w:instrText>
          </w:r>
          <w:r>
            <w:rPr>
              <w:rFonts w:hint="eastAsia"/>
              <w:sz w:val="24"/>
              <w:szCs w:val="24"/>
              <w:lang w:eastAsia="zh-CN"/>
            </w:rPr>
            <w:fldChar w:fldCharType="separate"/>
          </w:r>
          <w:r>
            <w:rPr>
              <w:rFonts w:hint="eastAsia" w:eastAsia="宋体" w:cs="Times New Roman"/>
              <w:sz w:val="24"/>
              <w:szCs w:val="24"/>
              <w:lang w:val="en-US" w:eastAsia="zh-CN"/>
            </w:rPr>
            <w:t>3.</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2主要风险物质理化性质</w:t>
          </w:r>
          <w:r>
            <w:rPr>
              <w:sz w:val="24"/>
              <w:szCs w:val="24"/>
            </w:rPr>
            <w:tab/>
          </w:r>
          <w:r>
            <w:rPr>
              <w:sz w:val="24"/>
              <w:szCs w:val="24"/>
            </w:rPr>
            <w:fldChar w:fldCharType="begin"/>
          </w:r>
          <w:r>
            <w:rPr>
              <w:sz w:val="24"/>
              <w:szCs w:val="24"/>
            </w:rPr>
            <w:instrText xml:space="preserve"> PAGEREF _Toc3410 \h </w:instrText>
          </w:r>
          <w:r>
            <w:rPr>
              <w:sz w:val="24"/>
              <w:szCs w:val="24"/>
            </w:rPr>
            <w:fldChar w:fldCharType="separate"/>
          </w:r>
          <w:r>
            <w:rPr>
              <w:sz w:val="24"/>
              <w:szCs w:val="24"/>
            </w:rPr>
            <w:t>16</w:t>
          </w:r>
          <w:r>
            <w:rPr>
              <w:sz w:val="24"/>
              <w:szCs w:val="24"/>
            </w:rPr>
            <w:fldChar w:fldCharType="end"/>
          </w:r>
          <w:r>
            <w:rPr>
              <w:rFonts w:hint="eastAsia"/>
              <w:sz w:val="24"/>
              <w:szCs w:val="24"/>
              <w:lang w:eastAsia="zh-CN"/>
            </w:rPr>
            <w:fldChar w:fldCharType="end"/>
          </w:r>
        </w:p>
        <w:p>
          <w:pPr>
            <w:pStyle w:val="37"/>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_Toc11812 </w:instrText>
          </w:r>
          <w:r>
            <w:rPr>
              <w:rFonts w:hint="eastAsia"/>
              <w:sz w:val="24"/>
              <w:szCs w:val="24"/>
              <w:lang w:eastAsia="zh-CN"/>
            </w:rPr>
            <w:fldChar w:fldCharType="separate"/>
          </w:r>
          <w:r>
            <w:rPr>
              <w:rFonts w:hint="eastAsia" w:eastAsia="宋体" w:cs="Times New Roman"/>
              <w:sz w:val="24"/>
              <w:szCs w:val="24"/>
              <w:lang w:val="en-US" w:eastAsia="zh-CN"/>
            </w:rPr>
            <w:t>3</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4安全生产管理</w:t>
          </w:r>
          <w:r>
            <w:rPr>
              <w:sz w:val="24"/>
              <w:szCs w:val="24"/>
            </w:rPr>
            <w:tab/>
          </w:r>
          <w:r>
            <w:rPr>
              <w:sz w:val="24"/>
              <w:szCs w:val="24"/>
            </w:rPr>
            <w:fldChar w:fldCharType="begin"/>
          </w:r>
          <w:r>
            <w:rPr>
              <w:sz w:val="24"/>
              <w:szCs w:val="24"/>
            </w:rPr>
            <w:instrText xml:space="preserve"> PAGEREF _Toc11812 \h </w:instrText>
          </w:r>
          <w:r>
            <w:rPr>
              <w:sz w:val="24"/>
              <w:szCs w:val="24"/>
            </w:rPr>
            <w:fldChar w:fldCharType="separate"/>
          </w:r>
          <w:r>
            <w:rPr>
              <w:sz w:val="24"/>
              <w:szCs w:val="24"/>
            </w:rPr>
            <w:t>17</w:t>
          </w:r>
          <w:r>
            <w:rPr>
              <w:sz w:val="24"/>
              <w:szCs w:val="24"/>
            </w:rPr>
            <w:fldChar w:fldCharType="end"/>
          </w:r>
          <w:r>
            <w:rPr>
              <w:rFonts w:hint="eastAsia"/>
              <w:sz w:val="24"/>
              <w:szCs w:val="24"/>
              <w:lang w:eastAsia="zh-CN"/>
            </w:rPr>
            <w:fldChar w:fldCharType="end"/>
          </w:r>
        </w:p>
        <w:p>
          <w:pPr>
            <w:pStyle w:val="37"/>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_Toc4489 </w:instrText>
          </w:r>
          <w:r>
            <w:rPr>
              <w:rFonts w:hint="eastAsia"/>
              <w:sz w:val="24"/>
              <w:szCs w:val="24"/>
              <w:lang w:eastAsia="zh-CN"/>
            </w:rPr>
            <w:fldChar w:fldCharType="separate"/>
          </w:r>
          <w:r>
            <w:rPr>
              <w:rFonts w:hint="eastAsia" w:eastAsia="宋体" w:cs="Times New Roman"/>
              <w:sz w:val="24"/>
              <w:szCs w:val="24"/>
              <w:lang w:val="en-US" w:eastAsia="zh-CN"/>
            </w:rPr>
            <w:t>3</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5</w:t>
          </w:r>
          <w:r>
            <w:rPr>
              <w:rFonts w:hint="default" w:ascii="Times New Roman" w:hAnsi="Times New Roman" w:cs="Times New Roman"/>
              <w:sz w:val="24"/>
              <w:szCs w:val="24"/>
            </w:rPr>
            <w:t>现有环境风险防控与应急措施情况</w:t>
          </w:r>
          <w:r>
            <w:rPr>
              <w:sz w:val="24"/>
              <w:szCs w:val="24"/>
            </w:rPr>
            <w:tab/>
          </w:r>
          <w:r>
            <w:rPr>
              <w:sz w:val="24"/>
              <w:szCs w:val="24"/>
            </w:rPr>
            <w:fldChar w:fldCharType="begin"/>
          </w:r>
          <w:r>
            <w:rPr>
              <w:sz w:val="24"/>
              <w:szCs w:val="24"/>
            </w:rPr>
            <w:instrText xml:space="preserve"> PAGEREF _Toc4489 \h </w:instrText>
          </w:r>
          <w:r>
            <w:rPr>
              <w:sz w:val="24"/>
              <w:szCs w:val="24"/>
            </w:rPr>
            <w:fldChar w:fldCharType="separate"/>
          </w:r>
          <w:r>
            <w:rPr>
              <w:sz w:val="24"/>
              <w:szCs w:val="24"/>
            </w:rPr>
            <w:t>18</w:t>
          </w:r>
          <w:r>
            <w:rPr>
              <w:sz w:val="24"/>
              <w:szCs w:val="24"/>
            </w:rPr>
            <w:fldChar w:fldCharType="end"/>
          </w:r>
          <w:r>
            <w:rPr>
              <w:rFonts w:hint="eastAsia"/>
              <w:sz w:val="24"/>
              <w:szCs w:val="24"/>
              <w:lang w:eastAsia="zh-CN"/>
            </w:rPr>
            <w:fldChar w:fldCharType="end"/>
          </w:r>
        </w:p>
        <w:p>
          <w:pPr>
            <w:pStyle w:val="37"/>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_Toc767 </w:instrText>
          </w:r>
          <w:r>
            <w:rPr>
              <w:rFonts w:hint="eastAsia"/>
              <w:sz w:val="24"/>
              <w:szCs w:val="24"/>
              <w:lang w:eastAsia="zh-CN"/>
            </w:rPr>
            <w:fldChar w:fldCharType="separate"/>
          </w:r>
          <w:r>
            <w:rPr>
              <w:rFonts w:hint="eastAsia" w:eastAsia="宋体" w:cs="Times New Roman"/>
              <w:sz w:val="24"/>
              <w:szCs w:val="24"/>
              <w:lang w:val="en-US" w:eastAsia="zh-CN"/>
            </w:rPr>
            <w:t>3</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6现有应急物资与装备</w:t>
          </w:r>
          <w:r>
            <w:rPr>
              <w:sz w:val="24"/>
              <w:szCs w:val="24"/>
            </w:rPr>
            <w:tab/>
          </w:r>
          <w:r>
            <w:rPr>
              <w:sz w:val="24"/>
              <w:szCs w:val="24"/>
            </w:rPr>
            <w:fldChar w:fldCharType="begin"/>
          </w:r>
          <w:r>
            <w:rPr>
              <w:sz w:val="24"/>
              <w:szCs w:val="24"/>
            </w:rPr>
            <w:instrText xml:space="preserve"> PAGEREF _Toc767 \h </w:instrText>
          </w:r>
          <w:r>
            <w:rPr>
              <w:sz w:val="24"/>
              <w:szCs w:val="24"/>
            </w:rPr>
            <w:fldChar w:fldCharType="separate"/>
          </w:r>
          <w:r>
            <w:rPr>
              <w:sz w:val="24"/>
              <w:szCs w:val="24"/>
            </w:rPr>
            <w:t>18</w:t>
          </w:r>
          <w:r>
            <w:rPr>
              <w:sz w:val="24"/>
              <w:szCs w:val="24"/>
            </w:rPr>
            <w:fldChar w:fldCharType="end"/>
          </w:r>
          <w:r>
            <w:rPr>
              <w:rFonts w:hint="eastAsia"/>
              <w:sz w:val="24"/>
              <w:szCs w:val="24"/>
              <w:lang w:eastAsia="zh-CN"/>
            </w:rPr>
            <w:fldChar w:fldCharType="end"/>
          </w:r>
        </w:p>
        <w:p>
          <w:pPr>
            <w:pStyle w:val="36"/>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_Toc21539 </w:instrText>
          </w:r>
          <w:r>
            <w:rPr>
              <w:rFonts w:hint="eastAsia"/>
              <w:sz w:val="24"/>
              <w:szCs w:val="24"/>
              <w:lang w:eastAsia="zh-CN"/>
            </w:rPr>
            <w:fldChar w:fldCharType="separate"/>
          </w:r>
          <w:r>
            <w:rPr>
              <w:rFonts w:hint="eastAsia" w:eastAsia="宋体" w:cs="Times New Roman"/>
              <w:bCs/>
              <w:sz w:val="24"/>
              <w:szCs w:val="24"/>
              <w:lang w:val="en-US" w:eastAsia="zh-CN"/>
            </w:rPr>
            <w:t>4突发环境事件及后果分析</w:t>
          </w:r>
          <w:r>
            <w:rPr>
              <w:sz w:val="24"/>
              <w:szCs w:val="24"/>
            </w:rPr>
            <w:tab/>
          </w:r>
          <w:r>
            <w:rPr>
              <w:sz w:val="24"/>
              <w:szCs w:val="24"/>
            </w:rPr>
            <w:fldChar w:fldCharType="begin"/>
          </w:r>
          <w:r>
            <w:rPr>
              <w:sz w:val="24"/>
              <w:szCs w:val="24"/>
            </w:rPr>
            <w:instrText xml:space="preserve"> PAGEREF _Toc21539 \h </w:instrText>
          </w:r>
          <w:r>
            <w:rPr>
              <w:sz w:val="24"/>
              <w:szCs w:val="24"/>
            </w:rPr>
            <w:fldChar w:fldCharType="separate"/>
          </w:r>
          <w:r>
            <w:rPr>
              <w:sz w:val="24"/>
              <w:szCs w:val="24"/>
            </w:rPr>
            <w:t>22</w:t>
          </w:r>
          <w:r>
            <w:rPr>
              <w:sz w:val="24"/>
              <w:szCs w:val="24"/>
            </w:rPr>
            <w:fldChar w:fldCharType="end"/>
          </w:r>
          <w:r>
            <w:rPr>
              <w:rFonts w:hint="eastAsia"/>
              <w:sz w:val="24"/>
              <w:szCs w:val="24"/>
              <w:lang w:eastAsia="zh-CN"/>
            </w:rPr>
            <w:fldChar w:fldCharType="end"/>
          </w:r>
        </w:p>
        <w:p>
          <w:pPr>
            <w:pStyle w:val="37"/>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_Toc18133 </w:instrText>
          </w:r>
          <w:r>
            <w:rPr>
              <w:rFonts w:hint="eastAsia"/>
              <w:sz w:val="24"/>
              <w:szCs w:val="24"/>
              <w:lang w:eastAsia="zh-CN"/>
            </w:rPr>
            <w:fldChar w:fldCharType="separate"/>
          </w:r>
          <w:r>
            <w:rPr>
              <w:rFonts w:hint="eastAsia" w:eastAsia="宋体" w:cs="Times New Roman"/>
              <w:sz w:val="24"/>
              <w:szCs w:val="24"/>
              <w:lang w:val="en-US" w:eastAsia="zh-CN"/>
            </w:rPr>
            <w:t>4</w:t>
          </w:r>
          <w:r>
            <w:rPr>
              <w:rFonts w:hint="default" w:ascii="Times New Roman" w:hAnsi="Times New Roman" w:eastAsia="宋体" w:cs="Times New Roman"/>
              <w:sz w:val="24"/>
              <w:szCs w:val="24"/>
            </w:rPr>
            <w:t>.1突发环境事件情景分析</w:t>
          </w:r>
          <w:r>
            <w:rPr>
              <w:sz w:val="24"/>
              <w:szCs w:val="24"/>
            </w:rPr>
            <w:tab/>
          </w:r>
          <w:r>
            <w:rPr>
              <w:sz w:val="24"/>
              <w:szCs w:val="24"/>
            </w:rPr>
            <w:fldChar w:fldCharType="begin"/>
          </w:r>
          <w:r>
            <w:rPr>
              <w:sz w:val="24"/>
              <w:szCs w:val="24"/>
            </w:rPr>
            <w:instrText xml:space="preserve"> PAGEREF _Toc18133 \h </w:instrText>
          </w:r>
          <w:r>
            <w:rPr>
              <w:sz w:val="24"/>
              <w:szCs w:val="24"/>
            </w:rPr>
            <w:fldChar w:fldCharType="separate"/>
          </w:r>
          <w:r>
            <w:rPr>
              <w:sz w:val="24"/>
              <w:szCs w:val="24"/>
            </w:rPr>
            <w:t>22</w:t>
          </w:r>
          <w:r>
            <w:rPr>
              <w:sz w:val="24"/>
              <w:szCs w:val="24"/>
            </w:rPr>
            <w:fldChar w:fldCharType="end"/>
          </w:r>
          <w:r>
            <w:rPr>
              <w:rFonts w:hint="eastAsia"/>
              <w:sz w:val="24"/>
              <w:szCs w:val="24"/>
              <w:lang w:eastAsia="zh-CN"/>
            </w:rPr>
            <w:fldChar w:fldCharType="end"/>
          </w:r>
        </w:p>
        <w:p>
          <w:pPr>
            <w:pStyle w:val="38"/>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_Toc30804 </w:instrText>
          </w:r>
          <w:r>
            <w:rPr>
              <w:rFonts w:hint="eastAsia"/>
              <w:sz w:val="24"/>
              <w:szCs w:val="24"/>
              <w:lang w:eastAsia="zh-CN"/>
            </w:rPr>
            <w:fldChar w:fldCharType="separate"/>
          </w:r>
          <w:r>
            <w:rPr>
              <w:rFonts w:hint="eastAsia" w:eastAsia="宋体" w:cs="Times New Roman"/>
              <w:sz w:val="24"/>
              <w:szCs w:val="24"/>
              <w:lang w:val="en-US" w:eastAsia="zh-CN"/>
            </w:rPr>
            <w:t>4.</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.1国内外同类企业突发环境事件资料</w:t>
          </w:r>
          <w:r>
            <w:rPr>
              <w:sz w:val="24"/>
              <w:szCs w:val="24"/>
            </w:rPr>
            <w:tab/>
          </w:r>
          <w:r>
            <w:rPr>
              <w:sz w:val="24"/>
              <w:szCs w:val="24"/>
            </w:rPr>
            <w:fldChar w:fldCharType="begin"/>
          </w:r>
          <w:r>
            <w:rPr>
              <w:sz w:val="24"/>
              <w:szCs w:val="24"/>
            </w:rPr>
            <w:instrText xml:space="preserve"> PAGEREF _Toc30804 \h </w:instrText>
          </w:r>
          <w:r>
            <w:rPr>
              <w:sz w:val="24"/>
              <w:szCs w:val="24"/>
            </w:rPr>
            <w:fldChar w:fldCharType="separate"/>
          </w:r>
          <w:r>
            <w:rPr>
              <w:sz w:val="24"/>
              <w:szCs w:val="24"/>
            </w:rPr>
            <w:t>22</w:t>
          </w:r>
          <w:r>
            <w:rPr>
              <w:sz w:val="24"/>
              <w:szCs w:val="24"/>
            </w:rPr>
            <w:fldChar w:fldCharType="end"/>
          </w:r>
          <w:r>
            <w:rPr>
              <w:rFonts w:hint="eastAsia"/>
              <w:sz w:val="24"/>
              <w:szCs w:val="24"/>
              <w:lang w:eastAsia="zh-CN"/>
            </w:rPr>
            <w:fldChar w:fldCharType="end"/>
          </w:r>
        </w:p>
        <w:p>
          <w:pPr>
            <w:pStyle w:val="38"/>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_Toc24833 </w:instrText>
          </w:r>
          <w:r>
            <w:rPr>
              <w:rFonts w:hint="eastAsia"/>
              <w:sz w:val="24"/>
              <w:szCs w:val="24"/>
              <w:lang w:eastAsia="zh-CN"/>
            </w:rPr>
            <w:fldChar w:fldCharType="separate"/>
          </w:r>
          <w:r>
            <w:rPr>
              <w:rFonts w:hint="eastAsia" w:eastAsia="宋体" w:cs="Times New Roman"/>
              <w:sz w:val="24"/>
              <w:szCs w:val="24"/>
              <w:lang w:val="en-US" w:eastAsia="zh-CN"/>
            </w:rPr>
            <w:t>4.</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2突发环境事故类型分析</w:t>
          </w:r>
          <w:r>
            <w:rPr>
              <w:sz w:val="24"/>
              <w:szCs w:val="24"/>
            </w:rPr>
            <w:tab/>
          </w:r>
          <w:r>
            <w:rPr>
              <w:sz w:val="24"/>
              <w:szCs w:val="24"/>
            </w:rPr>
            <w:fldChar w:fldCharType="begin"/>
          </w:r>
          <w:r>
            <w:rPr>
              <w:sz w:val="24"/>
              <w:szCs w:val="24"/>
            </w:rPr>
            <w:instrText xml:space="preserve"> PAGEREF _Toc24833 \h </w:instrText>
          </w:r>
          <w:r>
            <w:rPr>
              <w:sz w:val="24"/>
              <w:szCs w:val="24"/>
            </w:rPr>
            <w:fldChar w:fldCharType="separate"/>
          </w:r>
          <w:r>
            <w:rPr>
              <w:sz w:val="24"/>
              <w:szCs w:val="24"/>
            </w:rPr>
            <w:t>25</w:t>
          </w:r>
          <w:r>
            <w:rPr>
              <w:sz w:val="24"/>
              <w:szCs w:val="24"/>
            </w:rPr>
            <w:fldChar w:fldCharType="end"/>
          </w:r>
          <w:r>
            <w:rPr>
              <w:rFonts w:hint="eastAsia"/>
              <w:sz w:val="24"/>
              <w:szCs w:val="24"/>
              <w:lang w:eastAsia="zh-CN"/>
            </w:rPr>
            <w:fldChar w:fldCharType="end"/>
          </w:r>
        </w:p>
        <w:p>
          <w:pPr>
            <w:pStyle w:val="37"/>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_Toc20654 </w:instrText>
          </w:r>
          <w:r>
            <w:rPr>
              <w:rFonts w:hint="eastAsia"/>
              <w:sz w:val="24"/>
              <w:szCs w:val="24"/>
              <w:lang w:eastAsia="zh-CN"/>
            </w:rPr>
            <w:fldChar w:fldCharType="separate"/>
          </w:r>
          <w:r>
            <w:rPr>
              <w:rFonts w:hint="eastAsia" w:eastAsia="宋体" w:cs="Times New Roman"/>
              <w:sz w:val="24"/>
              <w:szCs w:val="24"/>
              <w:lang w:val="en-US" w:eastAsia="zh-CN"/>
            </w:rPr>
            <w:t>4</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2突发环境事件情景源强分析</w:t>
          </w:r>
          <w:r>
            <w:rPr>
              <w:sz w:val="24"/>
              <w:szCs w:val="24"/>
            </w:rPr>
            <w:tab/>
          </w:r>
          <w:r>
            <w:rPr>
              <w:sz w:val="24"/>
              <w:szCs w:val="24"/>
            </w:rPr>
            <w:fldChar w:fldCharType="begin"/>
          </w:r>
          <w:r>
            <w:rPr>
              <w:sz w:val="24"/>
              <w:szCs w:val="24"/>
            </w:rPr>
            <w:instrText xml:space="preserve"> PAGEREF _Toc20654 \h </w:instrText>
          </w:r>
          <w:r>
            <w:rPr>
              <w:sz w:val="24"/>
              <w:szCs w:val="24"/>
            </w:rPr>
            <w:fldChar w:fldCharType="separate"/>
          </w:r>
          <w:r>
            <w:rPr>
              <w:sz w:val="24"/>
              <w:szCs w:val="24"/>
            </w:rPr>
            <w:t>27</w:t>
          </w:r>
          <w:r>
            <w:rPr>
              <w:sz w:val="24"/>
              <w:szCs w:val="24"/>
            </w:rPr>
            <w:fldChar w:fldCharType="end"/>
          </w:r>
          <w:r>
            <w:rPr>
              <w:rFonts w:hint="eastAsia"/>
              <w:sz w:val="24"/>
              <w:szCs w:val="24"/>
              <w:lang w:eastAsia="zh-CN"/>
            </w:rPr>
            <w:fldChar w:fldCharType="end"/>
          </w:r>
        </w:p>
        <w:p>
          <w:pPr>
            <w:pStyle w:val="38"/>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_Toc12511 </w:instrText>
          </w:r>
          <w:r>
            <w:rPr>
              <w:rFonts w:hint="eastAsia"/>
              <w:sz w:val="24"/>
              <w:szCs w:val="24"/>
              <w:lang w:eastAsia="zh-CN"/>
            </w:rPr>
            <w:fldChar w:fldCharType="separate"/>
          </w:r>
          <w:r>
            <w:rPr>
              <w:rFonts w:hint="eastAsia" w:eastAsia="宋体" w:cs="Times New Roman"/>
              <w:sz w:val="24"/>
              <w:szCs w:val="24"/>
              <w:lang w:val="en-US" w:eastAsia="zh-CN"/>
            </w:rPr>
            <w:t>4.</w:t>
          </w:r>
          <w:r>
            <w:rPr>
              <w:rFonts w:hint="eastAsia" w:ascii="Times New Roman" w:hAnsi="Times New Roman" w:eastAsia="宋体" w:cs="Times New Roman"/>
              <w:sz w:val="24"/>
              <w:szCs w:val="24"/>
              <w:lang w:val="en-US" w:eastAsia="zh-CN"/>
            </w:rPr>
            <w:t>2.1火灾爆炸事故设定</w:t>
          </w:r>
          <w:r>
            <w:rPr>
              <w:sz w:val="24"/>
              <w:szCs w:val="24"/>
            </w:rPr>
            <w:tab/>
          </w:r>
          <w:r>
            <w:rPr>
              <w:sz w:val="24"/>
              <w:szCs w:val="24"/>
            </w:rPr>
            <w:fldChar w:fldCharType="begin"/>
          </w:r>
          <w:r>
            <w:rPr>
              <w:sz w:val="24"/>
              <w:szCs w:val="24"/>
            </w:rPr>
            <w:instrText xml:space="preserve"> PAGEREF _Toc12511 \h </w:instrText>
          </w:r>
          <w:r>
            <w:rPr>
              <w:sz w:val="24"/>
              <w:szCs w:val="24"/>
            </w:rPr>
            <w:fldChar w:fldCharType="separate"/>
          </w:r>
          <w:r>
            <w:rPr>
              <w:sz w:val="24"/>
              <w:szCs w:val="24"/>
            </w:rPr>
            <w:t>27</w:t>
          </w:r>
          <w:r>
            <w:rPr>
              <w:sz w:val="24"/>
              <w:szCs w:val="24"/>
            </w:rPr>
            <w:fldChar w:fldCharType="end"/>
          </w:r>
          <w:r>
            <w:rPr>
              <w:rFonts w:hint="eastAsia"/>
              <w:sz w:val="24"/>
              <w:szCs w:val="24"/>
              <w:lang w:eastAsia="zh-CN"/>
            </w:rPr>
            <w:fldChar w:fldCharType="end"/>
          </w:r>
        </w:p>
        <w:p>
          <w:pPr>
            <w:pStyle w:val="38"/>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_Toc14423 </w:instrText>
          </w:r>
          <w:r>
            <w:rPr>
              <w:rFonts w:hint="eastAsia"/>
              <w:sz w:val="24"/>
              <w:szCs w:val="24"/>
              <w:lang w:eastAsia="zh-CN"/>
            </w:rPr>
            <w:fldChar w:fldCharType="separate"/>
          </w:r>
          <w:r>
            <w:rPr>
              <w:rFonts w:hint="eastAsia" w:eastAsia="宋体" w:cs="Times New Roman"/>
              <w:sz w:val="24"/>
              <w:szCs w:val="24"/>
              <w:lang w:val="en-US" w:eastAsia="zh-CN"/>
            </w:rPr>
            <w:t>4.</w:t>
          </w:r>
          <w:r>
            <w:rPr>
              <w:rFonts w:hint="eastAsia" w:ascii="Times New Roman" w:hAnsi="Times New Roman" w:eastAsia="宋体" w:cs="Times New Roman"/>
              <w:sz w:val="24"/>
              <w:szCs w:val="24"/>
              <w:lang w:val="en-US" w:eastAsia="zh-CN"/>
            </w:rPr>
            <w:t>2.2储罐泄漏事故设定</w:t>
          </w:r>
          <w:r>
            <w:rPr>
              <w:sz w:val="24"/>
              <w:szCs w:val="24"/>
            </w:rPr>
            <w:tab/>
          </w:r>
          <w:r>
            <w:rPr>
              <w:sz w:val="24"/>
              <w:szCs w:val="24"/>
            </w:rPr>
            <w:fldChar w:fldCharType="begin"/>
          </w:r>
          <w:r>
            <w:rPr>
              <w:sz w:val="24"/>
              <w:szCs w:val="24"/>
            </w:rPr>
            <w:instrText xml:space="preserve"> PAGEREF _Toc14423 \h </w:instrText>
          </w:r>
          <w:r>
            <w:rPr>
              <w:sz w:val="24"/>
              <w:szCs w:val="24"/>
            </w:rPr>
            <w:fldChar w:fldCharType="separate"/>
          </w:r>
          <w:r>
            <w:rPr>
              <w:sz w:val="24"/>
              <w:szCs w:val="24"/>
            </w:rPr>
            <w:t>29</w:t>
          </w:r>
          <w:r>
            <w:rPr>
              <w:sz w:val="24"/>
              <w:szCs w:val="24"/>
            </w:rPr>
            <w:fldChar w:fldCharType="end"/>
          </w:r>
          <w:r>
            <w:rPr>
              <w:rFonts w:hint="eastAsia"/>
              <w:sz w:val="24"/>
              <w:szCs w:val="24"/>
              <w:lang w:eastAsia="zh-CN"/>
            </w:rPr>
            <w:fldChar w:fldCharType="end"/>
          </w:r>
        </w:p>
        <w:p>
          <w:pPr>
            <w:pStyle w:val="38"/>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_Toc29080 </w:instrText>
          </w:r>
          <w:r>
            <w:rPr>
              <w:rFonts w:hint="eastAsia"/>
              <w:sz w:val="24"/>
              <w:szCs w:val="24"/>
              <w:lang w:eastAsia="zh-CN"/>
            </w:rPr>
            <w:fldChar w:fldCharType="separate"/>
          </w:r>
          <w:r>
            <w:rPr>
              <w:rFonts w:hint="eastAsia" w:eastAsia="宋体" w:cs="Times New Roman"/>
              <w:sz w:val="24"/>
              <w:szCs w:val="24"/>
              <w:lang w:val="en-US" w:eastAsia="zh-CN"/>
            </w:rPr>
            <w:t>4.</w:t>
          </w:r>
          <w:r>
            <w:rPr>
              <w:rFonts w:hint="eastAsia" w:ascii="Times New Roman" w:hAnsi="Times New Roman" w:eastAsia="宋体" w:cs="Times New Roman"/>
              <w:sz w:val="24"/>
              <w:szCs w:val="24"/>
              <w:lang w:val="en-US" w:eastAsia="zh-CN"/>
            </w:rPr>
            <w:t>2.3码头趸船油品泄露</w:t>
          </w:r>
          <w:r>
            <w:rPr>
              <w:sz w:val="24"/>
              <w:szCs w:val="24"/>
            </w:rPr>
            <w:tab/>
          </w:r>
          <w:r>
            <w:rPr>
              <w:sz w:val="24"/>
              <w:szCs w:val="24"/>
            </w:rPr>
            <w:fldChar w:fldCharType="begin"/>
          </w:r>
          <w:r>
            <w:rPr>
              <w:sz w:val="24"/>
              <w:szCs w:val="24"/>
            </w:rPr>
            <w:instrText xml:space="preserve"> PAGEREF _Toc29080 \h </w:instrText>
          </w:r>
          <w:r>
            <w:rPr>
              <w:sz w:val="24"/>
              <w:szCs w:val="24"/>
            </w:rPr>
            <w:fldChar w:fldCharType="separate"/>
          </w:r>
          <w:r>
            <w:rPr>
              <w:sz w:val="24"/>
              <w:szCs w:val="24"/>
            </w:rPr>
            <w:t>31</w:t>
          </w:r>
          <w:r>
            <w:rPr>
              <w:sz w:val="24"/>
              <w:szCs w:val="24"/>
            </w:rPr>
            <w:fldChar w:fldCharType="end"/>
          </w:r>
          <w:r>
            <w:rPr>
              <w:rFonts w:hint="eastAsia"/>
              <w:sz w:val="24"/>
              <w:szCs w:val="24"/>
              <w:lang w:eastAsia="zh-CN"/>
            </w:rPr>
            <w:fldChar w:fldCharType="end"/>
          </w:r>
        </w:p>
        <w:p>
          <w:pPr>
            <w:pStyle w:val="38"/>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_Toc27147 </w:instrText>
          </w:r>
          <w:r>
            <w:rPr>
              <w:rFonts w:hint="eastAsia"/>
              <w:sz w:val="24"/>
              <w:szCs w:val="24"/>
              <w:lang w:eastAsia="zh-CN"/>
            </w:rPr>
            <w:fldChar w:fldCharType="separate"/>
          </w:r>
          <w:r>
            <w:rPr>
              <w:rFonts w:hint="eastAsia" w:eastAsia="宋体" w:cs="Times New Roman"/>
              <w:sz w:val="24"/>
              <w:szCs w:val="24"/>
              <w:lang w:val="en-US" w:eastAsia="zh-CN"/>
            </w:rPr>
            <w:t>4.</w:t>
          </w:r>
          <w:r>
            <w:rPr>
              <w:rFonts w:hint="eastAsia" w:ascii="Times New Roman" w:hAnsi="Times New Roman" w:eastAsia="宋体" w:cs="Times New Roman"/>
              <w:sz w:val="24"/>
              <w:szCs w:val="24"/>
              <w:lang w:val="en-US" w:eastAsia="zh-CN"/>
            </w:rPr>
            <w:t>2.4污染治理设施异常</w:t>
          </w:r>
          <w:r>
            <w:rPr>
              <w:sz w:val="24"/>
              <w:szCs w:val="24"/>
            </w:rPr>
            <w:tab/>
          </w:r>
          <w:r>
            <w:rPr>
              <w:sz w:val="24"/>
              <w:szCs w:val="24"/>
            </w:rPr>
            <w:fldChar w:fldCharType="begin"/>
          </w:r>
          <w:r>
            <w:rPr>
              <w:sz w:val="24"/>
              <w:szCs w:val="24"/>
            </w:rPr>
            <w:instrText xml:space="preserve"> PAGEREF _Toc27147 \h </w:instrText>
          </w:r>
          <w:r>
            <w:rPr>
              <w:sz w:val="24"/>
              <w:szCs w:val="24"/>
            </w:rPr>
            <w:fldChar w:fldCharType="separate"/>
          </w:r>
          <w:r>
            <w:rPr>
              <w:sz w:val="24"/>
              <w:szCs w:val="24"/>
            </w:rPr>
            <w:t>35</w:t>
          </w:r>
          <w:r>
            <w:rPr>
              <w:sz w:val="24"/>
              <w:szCs w:val="24"/>
            </w:rPr>
            <w:fldChar w:fldCharType="end"/>
          </w:r>
          <w:r>
            <w:rPr>
              <w:rFonts w:hint="eastAsia"/>
              <w:sz w:val="24"/>
              <w:szCs w:val="24"/>
              <w:lang w:eastAsia="zh-CN"/>
            </w:rPr>
            <w:fldChar w:fldCharType="end"/>
          </w:r>
        </w:p>
        <w:p>
          <w:pPr>
            <w:pStyle w:val="37"/>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_Toc19461 </w:instrText>
          </w:r>
          <w:r>
            <w:rPr>
              <w:rFonts w:hint="eastAsia"/>
              <w:sz w:val="24"/>
              <w:szCs w:val="24"/>
              <w:lang w:eastAsia="zh-CN"/>
            </w:rPr>
            <w:fldChar w:fldCharType="separate"/>
          </w:r>
          <w:r>
            <w:rPr>
              <w:rFonts w:hint="eastAsia" w:eastAsia="宋体" w:cs="Times New Roman"/>
              <w:sz w:val="24"/>
              <w:szCs w:val="24"/>
              <w:lang w:val="en-US" w:eastAsia="zh-CN"/>
            </w:rPr>
            <w:t>4</w:t>
          </w:r>
          <w:r>
            <w:rPr>
              <w:rFonts w:hint="default" w:ascii="Times New Roman" w:hAnsi="Times New Roman" w:eastAsia="宋体" w:cs="Times New Roman"/>
              <w:sz w:val="24"/>
              <w:szCs w:val="24"/>
            </w:rPr>
            <w:t>.3</w:t>
          </w:r>
          <w:r>
            <w:rPr>
              <w:rFonts w:hint="eastAsia" w:ascii="Times New Roman" w:hAnsi="Times New Roman" w:eastAsia="宋体" w:cs="Times New Roman"/>
              <w:sz w:val="24"/>
              <w:szCs w:val="24"/>
              <w:lang w:eastAsia="zh-CN"/>
            </w:rPr>
            <w:t>分析事故计算结果</w:t>
          </w:r>
          <w:r>
            <w:rPr>
              <w:sz w:val="24"/>
              <w:szCs w:val="24"/>
            </w:rPr>
            <w:tab/>
          </w:r>
          <w:r>
            <w:rPr>
              <w:sz w:val="24"/>
              <w:szCs w:val="24"/>
            </w:rPr>
            <w:fldChar w:fldCharType="begin"/>
          </w:r>
          <w:r>
            <w:rPr>
              <w:sz w:val="24"/>
              <w:szCs w:val="24"/>
            </w:rPr>
            <w:instrText xml:space="preserve"> PAGEREF _Toc19461 \h </w:instrText>
          </w:r>
          <w:r>
            <w:rPr>
              <w:sz w:val="24"/>
              <w:szCs w:val="24"/>
            </w:rPr>
            <w:fldChar w:fldCharType="separate"/>
          </w:r>
          <w:r>
            <w:rPr>
              <w:sz w:val="24"/>
              <w:szCs w:val="24"/>
            </w:rPr>
            <w:t>35</w:t>
          </w:r>
          <w:r>
            <w:rPr>
              <w:sz w:val="24"/>
              <w:szCs w:val="24"/>
            </w:rPr>
            <w:fldChar w:fldCharType="end"/>
          </w:r>
          <w:r>
            <w:rPr>
              <w:rFonts w:hint="eastAsia"/>
              <w:sz w:val="24"/>
              <w:szCs w:val="24"/>
              <w:lang w:eastAsia="zh-CN"/>
            </w:rPr>
            <w:fldChar w:fldCharType="end"/>
          </w:r>
        </w:p>
        <w:p>
          <w:pPr>
            <w:pStyle w:val="38"/>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_Toc10900 </w:instrText>
          </w:r>
          <w:r>
            <w:rPr>
              <w:rFonts w:hint="eastAsia"/>
              <w:sz w:val="24"/>
              <w:szCs w:val="24"/>
              <w:lang w:eastAsia="zh-CN"/>
            </w:rPr>
            <w:fldChar w:fldCharType="separate"/>
          </w:r>
          <w:r>
            <w:rPr>
              <w:rFonts w:hint="eastAsia" w:eastAsia="宋体" w:cs="Times New Roman"/>
              <w:sz w:val="24"/>
              <w:szCs w:val="24"/>
              <w:lang w:val="en-US" w:eastAsia="zh-CN"/>
            </w:rPr>
            <w:t>4.</w:t>
          </w:r>
          <w:r>
            <w:rPr>
              <w:rFonts w:hint="eastAsia" w:ascii="Times New Roman" w:hAnsi="Times New Roman" w:eastAsia="宋体" w:cs="Times New Roman"/>
              <w:sz w:val="24"/>
              <w:szCs w:val="24"/>
              <w:lang w:val="en-US" w:eastAsia="zh-CN"/>
            </w:rPr>
            <w:t>3.1火灾、爆炸事故后果预测</w:t>
          </w:r>
          <w:r>
            <w:rPr>
              <w:sz w:val="24"/>
              <w:szCs w:val="24"/>
            </w:rPr>
            <w:tab/>
          </w:r>
          <w:r>
            <w:rPr>
              <w:sz w:val="24"/>
              <w:szCs w:val="24"/>
            </w:rPr>
            <w:fldChar w:fldCharType="begin"/>
          </w:r>
          <w:r>
            <w:rPr>
              <w:sz w:val="24"/>
              <w:szCs w:val="24"/>
            </w:rPr>
            <w:instrText xml:space="preserve"> PAGEREF _Toc10900 \h </w:instrText>
          </w:r>
          <w:r>
            <w:rPr>
              <w:sz w:val="24"/>
              <w:szCs w:val="24"/>
            </w:rPr>
            <w:fldChar w:fldCharType="separate"/>
          </w:r>
          <w:r>
            <w:rPr>
              <w:sz w:val="24"/>
              <w:szCs w:val="24"/>
            </w:rPr>
            <w:t>35</w:t>
          </w:r>
          <w:r>
            <w:rPr>
              <w:sz w:val="24"/>
              <w:szCs w:val="24"/>
            </w:rPr>
            <w:fldChar w:fldCharType="end"/>
          </w:r>
          <w:r>
            <w:rPr>
              <w:rFonts w:hint="eastAsia"/>
              <w:sz w:val="24"/>
              <w:szCs w:val="24"/>
              <w:lang w:eastAsia="zh-CN"/>
            </w:rPr>
            <w:fldChar w:fldCharType="end"/>
          </w:r>
        </w:p>
        <w:p>
          <w:pPr>
            <w:pStyle w:val="38"/>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_Toc19447 </w:instrText>
          </w:r>
          <w:r>
            <w:rPr>
              <w:rFonts w:hint="eastAsia"/>
              <w:sz w:val="24"/>
              <w:szCs w:val="24"/>
              <w:lang w:eastAsia="zh-CN"/>
            </w:rPr>
            <w:fldChar w:fldCharType="separate"/>
          </w:r>
          <w:r>
            <w:rPr>
              <w:rFonts w:hint="eastAsia" w:eastAsia="宋体" w:cs="Times New Roman"/>
              <w:sz w:val="24"/>
              <w:szCs w:val="24"/>
              <w:lang w:val="en-US" w:eastAsia="zh-CN"/>
            </w:rPr>
            <w:t>4.</w:t>
          </w:r>
          <w:r>
            <w:rPr>
              <w:rFonts w:hint="eastAsia" w:ascii="Times New Roman" w:hAnsi="Times New Roman" w:eastAsia="宋体" w:cs="Times New Roman"/>
              <w:sz w:val="24"/>
              <w:szCs w:val="24"/>
              <w:lang w:val="en-US" w:eastAsia="zh-CN"/>
            </w:rPr>
            <w:t>3.2火灾及爆炸伴生环境危害后果计算</w:t>
          </w:r>
          <w:r>
            <w:rPr>
              <w:sz w:val="24"/>
              <w:szCs w:val="24"/>
            </w:rPr>
            <w:tab/>
          </w:r>
          <w:r>
            <w:rPr>
              <w:sz w:val="24"/>
              <w:szCs w:val="24"/>
            </w:rPr>
            <w:fldChar w:fldCharType="begin"/>
          </w:r>
          <w:r>
            <w:rPr>
              <w:sz w:val="24"/>
              <w:szCs w:val="24"/>
            </w:rPr>
            <w:instrText xml:space="preserve"> PAGEREF _Toc19447 \h </w:instrText>
          </w:r>
          <w:r>
            <w:rPr>
              <w:sz w:val="24"/>
              <w:szCs w:val="24"/>
            </w:rPr>
            <w:fldChar w:fldCharType="separate"/>
          </w:r>
          <w:r>
            <w:rPr>
              <w:sz w:val="24"/>
              <w:szCs w:val="24"/>
            </w:rPr>
            <w:t>37</w:t>
          </w:r>
          <w:r>
            <w:rPr>
              <w:sz w:val="24"/>
              <w:szCs w:val="24"/>
            </w:rPr>
            <w:fldChar w:fldCharType="end"/>
          </w:r>
          <w:r>
            <w:rPr>
              <w:rFonts w:hint="eastAsia"/>
              <w:sz w:val="24"/>
              <w:szCs w:val="24"/>
              <w:lang w:eastAsia="zh-CN"/>
            </w:rPr>
            <w:fldChar w:fldCharType="end"/>
          </w:r>
        </w:p>
        <w:p>
          <w:pPr>
            <w:pStyle w:val="38"/>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_Toc30857 </w:instrText>
          </w:r>
          <w:r>
            <w:rPr>
              <w:rFonts w:hint="eastAsia"/>
              <w:sz w:val="24"/>
              <w:szCs w:val="24"/>
              <w:lang w:eastAsia="zh-CN"/>
            </w:rPr>
            <w:fldChar w:fldCharType="separate"/>
          </w:r>
          <w:r>
            <w:rPr>
              <w:rFonts w:hint="eastAsia" w:eastAsia="宋体" w:cs="Times New Roman"/>
              <w:sz w:val="24"/>
              <w:szCs w:val="24"/>
              <w:lang w:val="en-US" w:eastAsia="zh-CN"/>
            </w:rPr>
            <w:t>4.</w:t>
          </w:r>
          <w:r>
            <w:rPr>
              <w:rFonts w:hint="eastAsia" w:ascii="Times New Roman" w:hAnsi="Times New Roman" w:eastAsia="宋体" w:cs="Times New Roman"/>
              <w:sz w:val="24"/>
              <w:szCs w:val="24"/>
              <w:lang w:val="en-US" w:eastAsia="zh-CN"/>
            </w:rPr>
            <w:t>3.3泄漏事故后果预测</w:t>
          </w:r>
          <w:r>
            <w:rPr>
              <w:sz w:val="24"/>
              <w:szCs w:val="24"/>
            </w:rPr>
            <w:tab/>
          </w:r>
          <w:r>
            <w:rPr>
              <w:sz w:val="24"/>
              <w:szCs w:val="24"/>
            </w:rPr>
            <w:fldChar w:fldCharType="begin"/>
          </w:r>
          <w:r>
            <w:rPr>
              <w:sz w:val="24"/>
              <w:szCs w:val="24"/>
            </w:rPr>
            <w:instrText xml:space="preserve"> PAGEREF _Toc30857 \h </w:instrText>
          </w:r>
          <w:r>
            <w:rPr>
              <w:sz w:val="24"/>
              <w:szCs w:val="24"/>
            </w:rPr>
            <w:fldChar w:fldCharType="separate"/>
          </w:r>
          <w:r>
            <w:rPr>
              <w:sz w:val="24"/>
              <w:szCs w:val="24"/>
            </w:rPr>
            <w:t>40</w:t>
          </w:r>
          <w:r>
            <w:rPr>
              <w:sz w:val="24"/>
              <w:szCs w:val="24"/>
            </w:rPr>
            <w:fldChar w:fldCharType="end"/>
          </w:r>
          <w:r>
            <w:rPr>
              <w:rFonts w:hint="eastAsia"/>
              <w:sz w:val="24"/>
              <w:szCs w:val="24"/>
              <w:lang w:eastAsia="zh-CN"/>
            </w:rPr>
            <w:fldChar w:fldCharType="end"/>
          </w:r>
        </w:p>
        <w:p>
          <w:pPr>
            <w:pStyle w:val="37"/>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_Toc10447 </w:instrText>
          </w:r>
          <w:r>
            <w:rPr>
              <w:rFonts w:hint="eastAsia"/>
              <w:sz w:val="24"/>
              <w:szCs w:val="24"/>
              <w:lang w:eastAsia="zh-CN"/>
            </w:rPr>
            <w:fldChar w:fldCharType="separate"/>
          </w:r>
          <w:r>
            <w:rPr>
              <w:rFonts w:hint="eastAsia" w:eastAsia="宋体" w:cs="Times New Roman"/>
              <w:sz w:val="24"/>
              <w:szCs w:val="24"/>
              <w:lang w:val="en-US" w:eastAsia="zh-CN"/>
            </w:rPr>
            <w:t>4</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释放环境风险物质的扩散途径、风险防控与应急措施、应急资源情况分析</w:t>
          </w:r>
          <w:r>
            <w:rPr>
              <w:sz w:val="24"/>
              <w:szCs w:val="24"/>
            </w:rPr>
            <w:tab/>
          </w:r>
          <w:r>
            <w:rPr>
              <w:sz w:val="24"/>
              <w:szCs w:val="24"/>
            </w:rPr>
            <w:fldChar w:fldCharType="begin"/>
          </w:r>
          <w:r>
            <w:rPr>
              <w:sz w:val="24"/>
              <w:szCs w:val="24"/>
            </w:rPr>
            <w:instrText xml:space="preserve"> PAGEREF _Toc10447 \h </w:instrText>
          </w:r>
          <w:r>
            <w:rPr>
              <w:sz w:val="24"/>
              <w:szCs w:val="24"/>
            </w:rPr>
            <w:fldChar w:fldCharType="separate"/>
          </w:r>
          <w:r>
            <w:rPr>
              <w:sz w:val="24"/>
              <w:szCs w:val="24"/>
            </w:rPr>
            <w:t>41</w:t>
          </w:r>
          <w:r>
            <w:rPr>
              <w:sz w:val="24"/>
              <w:szCs w:val="24"/>
            </w:rPr>
            <w:fldChar w:fldCharType="end"/>
          </w:r>
          <w:r>
            <w:rPr>
              <w:rFonts w:hint="eastAsia"/>
              <w:sz w:val="24"/>
              <w:szCs w:val="24"/>
              <w:lang w:eastAsia="zh-CN"/>
            </w:rPr>
            <w:fldChar w:fldCharType="end"/>
          </w:r>
        </w:p>
        <w:p>
          <w:pPr>
            <w:pStyle w:val="37"/>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_Toc32124 </w:instrText>
          </w:r>
          <w:r>
            <w:rPr>
              <w:rFonts w:hint="eastAsia"/>
              <w:sz w:val="24"/>
              <w:szCs w:val="24"/>
              <w:lang w:eastAsia="zh-CN"/>
            </w:rPr>
            <w:fldChar w:fldCharType="separate"/>
          </w:r>
          <w:r>
            <w:rPr>
              <w:rFonts w:hint="eastAsia" w:eastAsia="宋体" w:cs="Times New Roman"/>
              <w:sz w:val="24"/>
              <w:szCs w:val="24"/>
              <w:lang w:val="en-US" w:eastAsia="zh-CN"/>
            </w:rPr>
            <w:t>4</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5每种情景可能产生的直接、次生和衍生后果分析</w:t>
          </w:r>
          <w:r>
            <w:rPr>
              <w:sz w:val="24"/>
              <w:szCs w:val="24"/>
            </w:rPr>
            <w:tab/>
          </w:r>
          <w:r>
            <w:rPr>
              <w:sz w:val="24"/>
              <w:szCs w:val="24"/>
            </w:rPr>
            <w:fldChar w:fldCharType="begin"/>
          </w:r>
          <w:r>
            <w:rPr>
              <w:sz w:val="24"/>
              <w:szCs w:val="24"/>
            </w:rPr>
            <w:instrText xml:space="preserve"> PAGEREF _Toc32124 \h </w:instrText>
          </w:r>
          <w:r>
            <w:rPr>
              <w:sz w:val="24"/>
              <w:szCs w:val="24"/>
            </w:rPr>
            <w:fldChar w:fldCharType="separate"/>
          </w:r>
          <w:r>
            <w:rPr>
              <w:sz w:val="24"/>
              <w:szCs w:val="24"/>
            </w:rPr>
            <w:t>44</w:t>
          </w:r>
          <w:r>
            <w:rPr>
              <w:sz w:val="24"/>
              <w:szCs w:val="24"/>
            </w:rPr>
            <w:fldChar w:fldCharType="end"/>
          </w:r>
          <w:r>
            <w:rPr>
              <w:rFonts w:hint="eastAsia"/>
              <w:sz w:val="24"/>
              <w:szCs w:val="24"/>
              <w:lang w:eastAsia="zh-CN"/>
            </w:rPr>
            <w:fldChar w:fldCharType="end"/>
          </w:r>
        </w:p>
        <w:p>
          <w:pPr>
            <w:pStyle w:val="36"/>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_Toc30890 </w:instrText>
          </w:r>
          <w:r>
            <w:rPr>
              <w:rFonts w:hint="eastAsia"/>
              <w:sz w:val="24"/>
              <w:szCs w:val="24"/>
              <w:lang w:eastAsia="zh-CN"/>
            </w:rPr>
            <w:fldChar w:fldCharType="separate"/>
          </w:r>
          <w:r>
            <w:rPr>
              <w:rFonts w:hint="eastAsia" w:eastAsia="宋体" w:cs="Times New Roman"/>
              <w:bCs/>
              <w:sz w:val="24"/>
              <w:szCs w:val="24"/>
              <w:lang w:val="en-US" w:eastAsia="zh-CN"/>
            </w:rPr>
            <w:t>5现有环境风险防控和应急措施差距分析</w:t>
          </w:r>
          <w:r>
            <w:rPr>
              <w:sz w:val="24"/>
              <w:szCs w:val="24"/>
            </w:rPr>
            <w:tab/>
          </w:r>
          <w:r>
            <w:rPr>
              <w:sz w:val="24"/>
              <w:szCs w:val="24"/>
            </w:rPr>
            <w:fldChar w:fldCharType="begin"/>
          </w:r>
          <w:r>
            <w:rPr>
              <w:sz w:val="24"/>
              <w:szCs w:val="24"/>
            </w:rPr>
            <w:instrText xml:space="preserve"> PAGEREF _Toc30890 \h </w:instrText>
          </w:r>
          <w:r>
            <w:rPr>
              <w:sz w:val="24"/>
              <w:szCs w:val="24"/>
            </w:rPr>
            <w:fldChar w:fldCharType="separate"/>
          </w:r>
          <w:r>
            <w:rPr>
              <w:sz w:val="24"/>
              <w:szCs w:val="24"/>
            </w:rPr>
            <w:t>47</w:t>
          </w:r>
          <w:r>
            <w:rPr>
              <w:sz w:val="24"/>
              <w:szCs w:val="24"/>
            </w:rPr>
            <w:fldChar w:fldCharType="end"/>
          </w:r>
          <w:r>
            <w:rPr>
              <w:rFonts w:hint="eastAsia"/>
              <w:sz w:val="24"/>
              <w:szCs w:val="24"/>
              <w:lang w:eastAsia="zh-CN"/>
            </w:rPr>
            <w:fldChar w:fldCharType="end"/>
          </w:r>
        </w:p>
        <w:p>
          <w:pPr>
            <w:pStyle w:val="37"/>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_Toc24178 </w:instrText>
          </w:r>
          <w:r>
            <w:rPr>
              <w:rFonts w:hint="eastAsia"/>
              <w:sz w:val="24"/>
              <w:szCs w:val="24"/>
              <w:lang w:eastAsia="zh-CN"/>
            </w:rPr>
            <w:fldChar w:fldCharType="separate"/>
          </w:r>
          <w:r>
            <w:rPr>
              <w:rFonts w:hint="eastAsia" w:eastAsia="宋体" w:cs="Times New Roman"/>
              <w:sz w:val="24"/>
              <w:szCs w:val="24"/>
              <w:lang w:val="en-US" w:eastAsia="zh-CN"/>
            </w:rPr>
            <w:t>5</w:t>
          </w:r>
          <w:r>
            <w:rPr>
              <w:rFonts w:hint="default" w:ascii="Times New Roman" w:hAnsi="Times New Roman" w:eastAsia="宋体" w:cs="Times New Roman"/>
              <w:sz w:val="24"/>
              <w:szCs w:val="24"/>
            </w:rPr>
            <w:t>.1环境风险管理制度</w:t>
          </w:r>
          <w:r>
            <w:rPr>
              <w:sz w:val="24"/>
              <w:szCs w:val="24"/>
            </w:rPr>
            <w:tab/>
          </w:r>
          <w:r>
            <w:rPr>
              <w:sz w:val="24"/>
              <w:szCs w:val="24"/>
            </w:rPr>
            <w:fldChar w:fldCharType="begin"/>
          </w:r>
          <w:r>
            <w:rPr>
              <w:sz w:val="24"/>
              <w:szCs w:val="24"/>
            </w:rPr>
            <w:instrText xml:space="preserve"> PAGEREF _Toc24178 \h </w:instrText>
          </w:r>
          <w:r>
            <w:rPr>
              <w:sz w:val="24"/>
              <w:szCs w:val="24"/>
            </w:rPr>
            <w:fldChar w:fldCharType="separate"/>
          </w:r>
          <w:r>
            <w:rPr>
              <w:sz w:val="24"/>
              <w:szCs w:val="24"/>
            </w:rPr>
            <w:t>47</w:t>
          </w:r>
          <w:r>
            <w:rPr>
              <w:sz w:val="24"/>
              <w:szCs w:val="24"/>
            </w:rPr>
            <w:fldChar w:fldCharType="end"/>
          </w:r>
          <w:r>
            <w:rPr>
              <w:rFonts w:hint="eastAsia"/>
              <w:sz w:val="24"/>
              <w:szCs w:val="24"/>
              <w:lang w:eastAsia="zh-CN"/>
            </w:rPr>
            <w:fldChar w:fldCharType="end"/>
          </w:r>
        </w:p>
        <w:p>
          <w:pPr>
            <w:pStyle w:val="37"/>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_Toc7759 </w:instrText>
          </w:r>
          <w:r>
            <w:rPr>
              <w:rFonts w:hint="eastAsia"/>
              <w:sz w:val="24"/>
              <w:szCs w:val="24"/>
              <w:lang w:eastAsia="zh-CN"/>
            </w:rPr>
            <w:fldChar w:fldCharType="separate"/>
          </w:r>
          <w:r>
            <w:rPr>
              <w:rFonts w:hint="default" w:ascii="Times New Roman" w:hAnsi="Times New Roman" w:eastAsia="宋体" w:cs="Times New Roman"/>
              <w:sz w:val="24"/>
              <w:szCs w:val="24"/>
              <w:lang w:val="en-US" w:eastAsia="zh-CN"/>
            </w:rPr>
            <w:t>5.2环境风险防控与应急措施</w:t>
          </w:r>
          <w:r>
            <w:rPr>
              <w:sz w:val="24"/>
              <w:szCs w:val="24"/>
            </w:rPr>
            <w:tab/>
          </w:r>
          <w:r>
            <w:rPr>
              <w:sz w:val="24"/>
              <w:szCs w:val="24"/>
            </w:rPr>
            <w:fldChar w:fldCharType="begin"/>
          </w:r>
          <w:r>
            <w:rPr>
              <w:sz w:val="24"/>
              <w:szCs w:val="24"/>
            </w:rPr>
            <w:instrText xml:space="preserve"> PAGEREF _Toc7759 \h </w:instrText>
          </w:r>
          <w:r>
            <w:rPr>
              <w:sz w:val="24"/>
              <w:szCs w:val="24"/>
            </w:rPr>
            <w:fldChar w:fldCharType="separate"/>
          </w:r>
          <w:r>
            <w:rPr>
              <w:sz w:val="24"/>
              <w:szCs w:val="24"/>
            </w:rPr>
            <w:t>47</w:t>
          </w:r>
          <w:r>
            <w:rPr>
              <w:sz w:val="24"/>
              <w:szCs w:val="24"/>
            </w:rPr>
            <w:fldChar w:fldCharType="end"/>
          </w:r>
          <w:r>
            <w:rPr>
              <w:rFonts w:hint="eastAsia"/>
              <w:sz w:val="24"/>
              <w:szCs w:val="24"/>
              <w:lang w:eastAsia="zh-CN"/>
            </w:rPr>
            <w:fldChar w:fldCharType="end"/>
          </w:r>
        </w:p>
        <w:p>
          <w:pPr>
            <w:pStyle w:val="37"/>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_Toc25996 </w:instrText>
          </w:r>
          <w:r>
            <w:rPr>
              <w:rFonts w:hint="eastAsia"/>
              <w:sz w:val="24"/>
              <w:szCs w:val="24"/>
              <w:lang w:eastAsia="zh-CN"/>
            </w:rPr>
            <w:fldChar w:fldCharType="separate"/>
          </w:r>
          <w:r>
            <w:rPr>
              <w:rFonts w:hint="default" w:ascii="Times New Roman" w:hAnsi="Times New Roman" w:eastAsia="宋体" w:cs="Times New Roman"/>
              <w:sz w:val="24"/>
              <w:szCs w:val="24"/>
              <w:lang w:val="en-US" w:eastAsia="zh-CN"/>
            </w:rPr>
            <w:t>5.</w:t>
          </w:r>
          <w:r>
            <w:rPr>
              <w:rFonts w:hint="eastAsia" w:ascii="Times New Roman" w:hAnsi="Times New Roman" w:eastAsia="宋体" w:cs="Times New Roman"/>
              <w:sz w:val="24"/>
              <w:szCs w:val="24"/>
              <w:lang w:val="en-US" w:eastAsia="zh-CN"/>
            </w:rPr>
            <w:t>3环境应急资源</w:t>
          </w:r>
          <w:r>
            <w:rPr>
              <w:sz w:val="24"/>
              <w:szCs w:val="24"/>
            </w:rPr>
            <w:tab/>
          </w:r>
          <w:r>
            <w:rPr>
              <w:sz w:val="24"/>
              <w:szCs w:val="24"/>
            </w:rPr>
            <w:fldChar w:fldCharType="begin"/>
          </w:r>
          <w:r>
            <w:rPr>
              <w:sz w:val="24"/>
              <w:szCs w:val="24"/>
            </w:rPr>
            <w:instrText xml:space="preserve"> PAGEREF _Toc25996 \h </w:instrText>
          </w:r>
          <w:r>
            <w:rPr>
              <w:sz w:val="24"/>
              <w:szCs w:val="24"/>
            </w:rPr>
            <w:fldChar w:fldCharType="separate"/>
          </w:r>
          <w:r>
            <w:rPr>
              <w:sz w:val="24"/>
              <w:szCs w:val="24"/>
            </w:rPr>
            <w:t>49</w:t>
          </w:r>
          <w:r>
            <w:rPr>
              <w:sz w:val="24"/>
              <w:szCs w:val="24"/>
            </w:rPr>
            <w:fldChar w:fldCharType="end"/>
          </w:r>
          <w:r>
            <w:rPr>
              <w:rFonts w:hint="eastAsia"/>
              <w:sz w:val="24"/>
              <w:szCs w:val="24"/>
              <w:lang w:eastAsia="zh-CN"/>
            </w:rPr>
            <w:fldChar w:fldCharType="end"/>
          </w:r>
        </w:p>
        <w:p>
          <w:pPr>
            <w:pStyle w:val="37"/>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_Toc11270 </w:instrText>
          </w:r>
          <w:r>
            <w:rPr>
              <w:rFonts w:hint="eastAsia"/>
              <w:sz w:val="24"/>
              <w:szCs w:val="24"/>
              <w:lang w:eastAsia="zh-CN"/>
            </w:rPr>
            <w:fldChar w:fldCharType="separate"/>
          </w:r>
          <w:r>
            <w:rPr>
              <w:rFonts w:hint="default" w:ascii="Times New Roman" w:hAnsi="Times New Roman" w:eastAsia="宋体" w:cs="Times New Roman"/>
              <w:sz w:val="24"/>
              <w:szCs w:val="24"/>
              <w:lang w:val="en-US" w:eastAsia="zh-CN"/>
            </w:rPr>
            <w:t>5.4需要整改的短期、中期和长期项目内容</w:t>
          </w:r>
          <w:r>
            <w:rPr>
              <w:sz w:val="24"/>
              <w:szCs w:val="24"/>
            </w:rPr>
            <w:tab/>
          </w:r>
          <w:r>
            <w:rPr>
              <w:sz w:val="24"/>
              <w:szCs w:val="24"/>
            </w:rPr>
            <w:fldChar w:fldCharType="begin"/>
          </w:r>
          <w:r>
            <w:rPr>
              <w:sz w:val="24"/>
              <w:szCs w:val="24"/>
            </w:rPr>
            <w:instrText xml:space="preserve"> PAGEREF _Toc11270 \h </w:instrText>
          </w:r>
          <w:r>
            <w:rPr>
              <w:sz w:val="24"/>
              <w:szCs w:val="24"/>
            </w:rPr>
            <w:fldChar w:fldCharType="separate"/>
          </w:r>
          <w:r>
            <w:rPr>
              <w:sz w:val="24"/>
              <w:szCs w:val="24"/>
            </w:rPr>
            <w:t>49</w:t>
          </w:r>
          <w:r>
            <w:rPr>
              <w:sz w:val="24"/>
              <w:szCs w:val="24"/>
            </w:rPr>
            <w:fldChar w:fldCharType="end"/>
          </w:r>
          <w:r>
            <w:rPr>
              <w:rFonts w:hint="eastAsia"/>
              <w:sz w:val="24"/>
              <w:szCs w:val="24"/>
              <w:lang w:eastAsia="zh-CN"/>
            </w:rPr>
            <w:fldChar w:fldCharType="end"/>
          </w:r>
        </w:p>
        <w:p>
          <w:pPr>
            <w:pStyle w:val="36"/>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_Toc12784 </w:instrText>
          </w:r>
          <w:r>
            <w:rPr>
              <w:rFonts w:hint="eastAsia"/>
              <w:sz w:val="24"/>
              <w:szCs w:val="24"/>
              <w:lang w:eastAsia="zh-CN"/>
            </w:rPr>
            <w:fldChar w:fldCharType="separate"/>
          </w:r>
          <w:r>
            <w:rPr>
              <w:rFonts w:hint="default" w:ascii="Times New Roman" w:hAnsi="Times New Roman" w:eastAsia="宋体" w:cs="Times New Roman"/>
              <w:bCs/>
              <w:sz w:val="24"/>
              <w:szCs w:val="24"/>
              <w:lang w:val="en-US" w:eastAsia="zh-CN"/>
            </w:rPr>
            <w:t>6完善环境风险防控与应急措施的实施计划</w:t>
          </w:r>
          <w:r>
            <w:rPr>
              <w:sz w:val="24"/>
              <w:szCs w:val="24"/>
            </w:rPr>
            <w:tab/>
          </w:r>
          <w:r>
            <w:rPr>
              <w:sz w:val="24"/>
              <w:szCs w:val="24"/>
            </w:rPr>
            <w:fldChar w:fldCharType="begin"/>
          </w:r>
          <w:r>
            <w:rPr>
              <w:sz w:val="24"/>
              <w:szCs w:val="24"/>
            </w:rPr>
            <w:instrText xml:space="preserve"> PAGEREF _Toc12784 \h </w:instrText>
          </w:r>
          <w:r>
            <w:rPr>
              <w:sz w:val="24"/>
              <w:szCs w:val="24"/>
            </w:rPr>
            <w:fldChar w:fldCharType="separate"/>
          </w:r>
          <w:r>
            <w:rPr>
              <w:sz w:val="24"/>
              <w:szCs w:val="24"/>
            </w:rPr>
            <w:t>51</w:t>
          </w:r>
          <w:r>
            <w:rPr>
              <w:sz w:val="24"/>
              <w:szCs w:val="24"/>
            </w:rPr>
            <w:fldChar w:fldCharType="end"/>
          </w:r>
          <w:r>
            <w:rPr>
              <w:rFonts w:hint="eastAsia"/>
              <w:sz w:val="24"/>
              <w:szCs w:val="24"/>
              <w:lang w:eastAsia="zh-CN"/>
            </w:rPr>
            <w:fldChar w:fldCharType="end"/>
          </w:r>
        </w:p>
        <w:p>
          <w:pPr>
            <w:pStyle w:val="37"/>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_Toc19035 </w:instrText>
          </w:r>
          <w:r>
            <w:rPr>
              <w:rFonts w:hint="eastAsia"/>
              <w:sz w:val="24"/>
              <w:szCs w:val="24"/>
              <w:lang w:eastAsia="zh-CN"/>
            </w:rPr>
            <w:fldChar w:fldCharType="separate"/>
          </w:r>
          <w:r>
            <w:rPr>
              <w:rFonts w:hint="default" w:ascii="Times New Roman" w:hAnsi="Times New Roman" w:eastAsia="宋体" w:cs="Times New Roman"/>
              <w:sz w:val="24"/>
              <w:szCs w:val="24"/>
              <w:lang w:val="en-US" w:eastAsia="zh-CN"/>
            </w:rPr>
            <w:t>6.1进一步完善环境风险管理制度</w:t>
          </w:r>
          <w:r>
            <w:rPr>
              <w:sz w:val="24"/>
              <w:szCs w:val="24"/>
            </w:rPr>
            <w:tab/>
          </w:r>
          <w:r>
            <w:rPr>
              <w:sz w:val="24"/>
              <w:szCs w:val="24"/>
            </w:rPr>
            <w:fldChar w:fldCharType="begin"/>
          </w:r>
          <w:r>
            <w:rPr>
              <w:sz w:val="24"/>
              <w:szCs w:val="24"/>
            </w:rPr>
            <w:instrText xml:space="preserve"> PAGEREF _Toc19035 \h </w:instrText>
          </w:r>
          <w:r>
            <w:rPr>
              <w:sz w:val="24"/>
              <w:szCs w:val="24"/>
            </w:rPr>
            <w:fldChar w:fldCharType="separate"/>
          </w:r>
          <w:r>
            <w:rPr>
              <w:sz w:val="24"/>
              <w:szCs w:val="24"/>
            </w:rPr>
            <w:t>51</w:t>
          </w:r>
          <w:r>
            <w:rPr>
              <w:sz w:val="24"/>
              <w:szCs w:val="24"/>
            </w:rPr>
            <w:fldChar w:fldCharType="end"/>
          </w:r>
          <w:r>
            <w:rPr>
              <w:rFonts w:hint="eastAsia"/>
              <w:sz w:val="24"/>
              <w:szCs w:val="24"/>
              <w:lang w:eastAsia="zh-CN"/>
            </w:rPr>
            <w:fldChar w:fldCharType="end"/>
          </w:r>
        </w:p>
        <w:p>
          <w:pPr>
            <w:pStyle w:val="37"/>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_Toc8208 </w:instrText>
          </w:r>
          <w:r>
            <w:rPr>
              <w:rFonts w:hint="eastAsia"/>
              <w:sz w:val="24"/>
              <w:szCs w:val="24"/>
              <w:lang w:eastAsia="zh-CN"/>
            </w:rPr>
            <w:fldChar w:fldCharType="separate"/>
          </w:r>
          <w:r>
            <w:rPr>
              <w:rFonts w:hint="default" w:ascii="Times New Roman" w:hAnsi="Times New Roman" w:eastAsia="宋体" w:cs="Times New Roman"/>
              <w:sz w:val="24"/>
              <w:szCs w:val="24"/>
              <w:lang w:val="en-US" w:eastAsia="zh-CN"/>
            </w:rPr>
            <w:t>6.2环境风险防控措施、环境应急能力建设</w:t>
          </w:r>
          <w:r>
            <w:rPr>
              <w:sz w:val="24"/>
              <w:szCs w:val="24"/>
            </w:rPr>
            <w:tab/>
          </w:r>
          <w:r>
            <w:rPr>
              <w:sz w:val="24"/>
              <w:szCs w:val="24"/>
            </w:rPr>
            <w:fldChar w:fldCharType="begin"/>
          </w:r>
          <w:r>
            <w:rPr>
              <w:sz w:val="24"/>
              <w:szCs w:val="24"/>
            </w:rPr>
            <w:instrText xml:space="preserve"> PAGEREF _Toc8208 \h </w:instrText>
          </w:r>
          <w:r>
            <w:rPr>
              <w:sz w:val="24"/>
              <w:szCs w:val="24"/>
            </w:rPr>
            <w:fldChar w:fldCharType="separate"/>
          </w:r>
          <w:r>
            <w:rPr>
              <w:sz w:val="24"/>
              <w:szCs w:val="24"/>
            </w:rPr>
            <w:t>51</w:t>
          </w:r>
          <w:r>
            <w:rPr>
              <w:sz w:val="24"/>
              <w:szCs w:val="24"/>
            </w:rPr>
            <w:fldChar w:fldCharType="end"/>
          </w:r>
          <w:r>
            <w:rPr>
              <w:rFonts w:hint="eastAsia"/>
              <w:sz w:val="24"/>
              <w:szCs w:val="24"/>
              <w:lang w:eastAsia="zh-CN"/>
            </w:rPr>
            <w:fldChar w:fldCharType="end"/>
          </w:r>
        </w:p>
        <w:p>
          <w:pPr>
            <w:pStyle w:val="36"/>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_Toc10687 </w:instrText>
          </w:r>
          <w:r>
            <w:rPr>
              <w:rFonts w:hint="eastAsia"/>
              <w:sz w:val="24"/>
              <w:szCs w:val="24"/>
              <w:lang w:eastAsia="zh-CN"/>
            </w:rPr>
            <w:fldChar w:fldCharType="separate"/>
          </w:r>
          <w:r>
            <w:rPr>
              <w:rFonts w:hint="default" w:ascii="Times New Roman" w:hAnsi="Times New Roman" w:eastAsia="宋体" w:cs="Times New Roman"/>
              <w:bCs/>
              <w:sz w:val="24"/>
              <w:szCs w:val="24"/>
              <w:lang w:val="en-US" w:eastAsia="zh-CN"/>
            </w:rPr>
            <w:t>7企业环境风险等级</w:t>
          </w:r>
          <w:r>
            <w:rPr>
              <w:sz w:val="24"/>
              <w:szCs w:val="24"/>
            </w:rPr>
            <w:tab/>
          </w:r>
          <w:r>
            <w:rPr>
              <w:sz w:val="24"/>
              <w:szCs w:val="24"/>
            </w:rPr>
            <w:fldChar w:fldCharType="begin"/>
          </w:r>
          <w:r>
            <w:rPr>
              <w:sz w:val="24"/>
              <w:szCs w:val="24"/>
            </w:rPr>
            <w:instrText xml:space="preserve"> PAGEREF _Toc10687 \h </w:instrText>
          </w:r>
          <w:r>
            <w:rPr>
              <w:sz w:val="24"/>
              <w:szCs w:val="24"/>
            </w:rPr>
            <w:fldChar w:fldCharType="separate"/>
          </w:r>
          <w:r>
            <w:rPr>
              <w:sz w:val="24"/>
              <w:szCs w:val="24"/>
            </w:rPr>
            <w:t>53</w:t>
          </w:r>
          <w:r>
            <w:rPr>
              <w:sz w:val="24"/>
              <w:szCs w:val="24"/>
            </w:rPr>
            <w:fldChar w:fldCharType="end"/>
          </w:r>
          <w:r>
            <w:rPr>
              <w:rFonts w:hint="eastAsia"/>
              <w:sz w:val="24"/>
              <w:szCs w:val="24"/>
              <w:lang w:eastAsia="zh-CN"/>
            </w:rPr>
            <w:fldChar w:fldCharType="end"/>
          </w:r>
        </w:p>
        <w:p>
          <w:pPr>
            <w:pStyle w:val="37"/>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_Toc30011 </w:instrText>
          </w:r>
          <w:r>
            <w:rPr>
              <w:rFonts w:hint="eastAsia"/>
              <w:sz w:val="24"/>
              <w:szCs w:val="24"/>
              <w:lang w:eastAsia="zh-CN"/>
            </w:rPr>
            <w:fldChar w:fldCharType="separate"/>
          </w:r>
          <w:r>
            <w:rPr>
              <w:rFonts w:hint="eastAsia" w:eastAsia="宋体" w:cs="Times New Roman"/>
              <w:sz w:val="24"/>
              <w:szCs w:val="24"/>
              <w:lang w:val="en-US" w:eastAsia="zh-CN"/>
            </w:rPr>
            <w:t>7</w:t>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突发大气环境事件风险分级</w:t>
          </w:r>
          <w:r>
            <w:rPr>
              <w:sz w:val="24"/>
              <w:szCs w:val="24"/>
            </w:rPr>
            <w:tab/>
          </w:r>
          <w:r>
            <w:rPr>
              <w:sz w:val="24"/>
              <w:szCs w:val="24"/>
            </w:rPr>
            <w:fldChar w:fldCharType="begin"/>
          </w:r>
          <w:r>
            <w:rPr>
              <w:sz w:val="24"/>
              <w:szCs w:val="24"/>
            </w:rPr>
            <w:instrText xml:space="preserve"> PAGEREF _Toc30011 \h </w:instrText>
          </w:r>
          <w:r>
            <w:rPr>
              <w:sz w:val="24"/>
              <w:szCs w:val="24"/>
            </w:rPr>
            <w:fldChar w:fldCharType="separate"/>
          </w:r>
          <w:r>
            <w:rPr>
              <w:sz w:val="24"/>
              <w:szCs w:val="24"/>
            </w:rPr>
            <w:t>53</w:t>
          </w:r>
          <w:r>
            <w:rPr>
              <w:sz w:val="24"/>
              <w:szCs w:val="24"/>
            </w:rPr>
            <w:fldChar w:fldCharType="end"/>
          </w:r>
          <w:r>
            <w:rPr>
              <w:rFonts w:hint="eastAsia"/>
              <w:sz w:val="24"/>
              <w:szCs w:val="24"/>
              <w:lang w:eastAsia="zh-CN"/>
            </w:rPr>
            <w:fldChar w:fldCharType="end"/>
          </w:r>
        </w:p>
        <w:p>
          <w:pPr>
            <w:pStyle w:val="38"/>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_Toc32352 </w:instrText>
          </w:r>
          <w:r>
            <w:rPr>
              <w:rFonts w:hint="eastAsia"/>
              <w:sz w:val="24"/>
              <w:szCs w:val="24"/>
              <w:lang w:eastAsia="zh-CN"/>
            </w:rPr>
            <w:fldChar w:fldCharType="separate"/>
          </w:r>
          <w:r>
            <w:rPr>
              <w:rFonts w:hint="eastAsia" w:eastAsia="宋体" w:cs="Times New Roman"/>
              <w:sz w:val="24"/>
              <w:szCs w:val="24"/>
              <w:lang w:val="en-US" w:eastAsia="zh-CN"/>
            </w:rPr>
            <w:t>7.</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大气环境风险物质数量与其临界量比值（Q）</w:t>
          </w:r>
          <w:r>
            <w:rPr>
              <w:sz w:val="24"/>
              <w:szCs w:val="24"/>
            </w:rPr>
            <w:tab/>
          </w:r>
          <w:r>
            <w:rPr>
              <w:sz w:val="24"/>
              <w:szCs w:val="24"/>
            </w:rPr>
            <w:fldChar w:fldCharType="begin"/>
          </w:r>
          <w:r>
            <w:rPr>
              <w:sz w:val="24"/>
              <w:szCs w:val="24"/>
            </w:rPr>
            <w:instrText xml:space="preserve"> PAGEREF _Toc32352 \h </w:instrText>
          </w:r>
          <w:r>
            <w:rPr>
              <w:sz w:val="24"/>
              <w:szCs w:val="24"/>
            </w:rPr>
            <w:fldChar w:fldCharType="separate"/>
          </w:r>
          <w:r>
            <w:rPr>
              <w:sz w:val="24"/>
              <w:szCs w:val="24"/>
            </w:rPr>
            <w:t>53</w:t>
          </w:r>
          <w:r>
            <w:rPr>
              <w:sz w:val="24"/>
              <w:szCs w:val="24"/>
            </w:rPr>
            <w:fldChar w:fldCharType="end"/>
          </w:r>
          <w:r>
            <w:rPr>
              <w:rFonts w:hint="eastAsia"/>
              <w:sz w:val="24"/>
              <w:szCs w:val="24"/>
              <w:lang w:eastAsia="zh-CN"/>
            </w:rPr>
            <w:fldChar w:fldCharType="end"/>
          </w:r>
        </w:p>
        <w:p>
          <w:pPr>
            <w:pStyle w:val="38"/>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_Toc28820 </w:instrText>
          </w:r>
          <w:r>
            <w:rPr>
              <w:rFonts w:hint="eastAsia"/>
              <w:sz w:val="24"/>
              <w:szCs w:val="24"/>
              <w:lang w:eastAsia="zh-CN"/>
            </w:rPr>
            <w:fldChar w:fldCharType="separate"/>
          </w:r>
          <w:r>
            <w:rPr>
              <w:rFonts w:hint="eastAsia" w:eastAsia="宋体" w:cs="Times New Roman"/>
              <w:sz w:val="24"/>
              <w:szCs w:val="24"/>
              <w:lang w:val="en-US" w:eastAsia="zh-CN"/>
            </w:rPr>
            <w:t>7.1</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2生产工艺过程与大气环境风险控制水平（M）评估</w:t>
          </w:r>
          <w:r>
            <w:rPr>
              <w:sz w:val="24"/>
              <w:szCs w:val="24"/>
            </w:rPr>
            <w:tab/>
          </w:r>
          <w:r>
            <w:rPr>
              <w:sz w:val="24"/>
              <w:szCs w:val="24"/>
            </w:rPr>
            <w:fldChar w:fldCharType="begin"/>
          </w:r>
          <w:r>
            <w:rPr>
              <w:sz w:val="24"/>
              <w:szCs w:val="24"/>
            </w:rPr>
            <w:instrText xml:space="preserve"> PAGEREF _Toc28820 \h </w:instrText>
          </w:r>
          <w:r>
            <w:rPr>
              <w:sz w:val="24"/>
              <w:szCs w:val="24"/>
            </w:rPr>
            <w:fldChar w:fldCharType="separate"/>
          </w:r>
          <w:r>
            <w:rPr>
              <w:sz w:val="24"/>
              <w:szCs w:val="24"/>
            </w:rPr>
            <w:t>55</w:t>
          </w:r>
          <w:r>
            <w:rPr>
              <w:sz w:val="24"/>
              <w:szCs w:val="24"/>
            </w:rPr>
            <w:fldChar w:fldCharType="end"/>
          </w:r>
          <w:r>
            <w:rPr>
              <w:rFonts w:hint="eastAsia"/>
              <w:sz w:val="24"/>
              <w:szCs w:val="24"/>
              <w:lang w:eastAsia="zh-CN"/>
            </w:rPr>
            <w:fldChar w:fldCharType="end"/>
          </w:r>
        </w:p>
        <w:p>
          <w:pPr>
            <w:pStyle w:val="38"/>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_Toc11028 </w:instrText>
          </w:r>
          <w:r>
            <w:rPr>
              <w:rFonts w:hint="eastAsia"/>
              <w:sz w:val="24"/>
              <w:szCs w:val="24"/>
              <w:lang w:eastAsia="zh-CN"/>
            </w:rPr>
            <w:fldChar w:fldCharType="separate"/>
          </w:r>
          <w:r>
            <w:rPr>
              <w:rFonts w:hint="default" w:ascii="Times New Roman" w:hAnsi="Times New Roman" w:eastAsia="宋体" w:cs="Times New Roman"/>
              <w:sz w:val="24"/>
              <w:szCs w:val="24"/>
              <w:lang w:val="en-US" w:eastAsia="zh-CN"/>
            </w:rPr>
            <w:t>7.1.3大气环境风险受体敏感程度（E）评估</w:t>
          </w:r>
          <w:r>
            <w:rPr>
              <w:sz w:val="24"/>
              <w:szCs w:val="24"/>
            </w:rPr>
            <w:tab/>
          </w:r>
          <w:r>
            <w:rPr>
              <w:sz w:val="24"/>
              <w:szCs w:val="24"/>
            </w:rPr>
            <w:fldChar w:fldCharType="begin"/>
          </w:r>
          <w:r>
            <w:rPr>
              <w:sz w:val="24"/>
              <w:szCs w:val="24"/>
            </w:rPr>
            <w:instrText xml:space="preserve"> PAGEREF _Toc11028 \h </w:instrText>
          </w:r>
          <w:r>
            <w:rPr>
              <w:sz w:val="24"/>
              <w:szCs w:val="24"/>
            </w:rPr>
            <w:fldChar w:fldCharType="separate"/>
          </w:r>
          <w:r>
            <w:rPr>
              <w:sz w:val="24"/>
              <w:szCs w:val="24"/>
            </w:rPr>
            <w:t>57</w:t>
          </w:r>
          <w:r>
            <w:rPr>
              <w:sz w:val="24"/>
              <w:szCs w:val="24"/>
            </w:rPr>
            <w:fldChar w:fldCharType="end"/>
          </w:r>
          <w:r>
            <w:rPr>
              <w:rFonts w:hint="eastAsia"/>
              <w:sz w:val="24"/>
              <w:szCs w:val="24"/>
              <w:lang w:eastAsia="zh-CN"/>
            </w:rPr>
            <w:fldChar w:fldCharType="end"/>
          </w:r>
        </w:p>
        <w:p>
          <w:pPr>
            <w:pStyle w:val="38"/>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_Toc10502 </w:instrText>
          </w:r>
          <w:r>
            <w:rPr>
              <w:rFonts w:hint="eastAsia"/>
              <w:sz w:val="24"/>
              <w:szCs w:val="24"/>
              <w:lang w:eastAsia="zh-CN"/>
            </w:rPr>
            <w:fldChar w:fldCharType="separate"/>
          </w:r>
          <w:r>
            <w:rPr>
              <w:rFonts w:hint="default" w:ascii="Times New Roman" w:hAnsi="Times New Roman" w:eastAsia="宋体" w:cs="Times New Roman"/>
              <w:sz w:val="24"/>
              <w:szCs w:val="24"/>
              <w:lang w:val="en-US" w:eastAsia="zh-CN"/>
            </w:rPr>
            <w:t>7.1.4企业大气环境事件风险等级确定</w:t>
          </w:r>
          <w:r>
            <w:rPr>
              <w:sz w:val="24"/>
              <w:szCs w:val="24"/>
            </w:rPr>
            <w:tab/>
          </w:r>
          <w:r>
            <w:rPr>
              <w:sz w:val="24"/>
              <w:szCs w:val="24"/>
            </w:rPr>
            <w:fldChar w:fldCharType="begin"/>
          </w:r>
          <w:r>
            <w:rPr>
              <w:sz w:val="24"/>
              <w:szCs w:val="24"/>
            </w:rPr>
            <w:instrText xml:space="preserve"> PAGEREF _Toc10502 \h </w:instrText>
          </w:r>
          <w:r>
            <w:rPr>
              <w:sz w:val="24"/>
              <w:szCs w:val="24"/>
            </w:rPr>
            <w:fldChar w:fldCharType="separate"/>
          </w:r>
          <w:r>
            <w:rPr>
              <w:sz w:val="24"/>
              <w:szCs w:val="24"/>
            </w:rPr>
            <w:t>57</w:t>
          </w:r>
          <w:r>
            <w:rPr>
              <w:sz w:val="24"/>
              <w:szCs w:val="24"/>
            </w:rPr>
            <w:fldChar w:fldCharType="end"/>
          </w:r>
          <w:r>
            <w:rPr>
              <w:rFonts w:hint="eastAsia"/>
              <w:sz w:val="24"/>
              <w:szCs w:val="24"/>
              <w:lang w:eastAsia="zh-CN"/>
            </w:rPr>
            <w:fldChar w:fldCharType="end"/>
          </w:r>
        </w:p>
        <w:p>
          <w:pPr>
            <w:pStyle w:val="37"/>
            <w:keepNext w:val="0"/>
            <w:keepLines w:val="0"/>
            <w:pageBreakBefore w:val="0"/>
            <w:tabs>
              <w:tab w:val="right" w:leader="dot" w:pos="8306"/>
            </w:tabs>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_Toc28191 </w:instrText>
          </w:r>
          <w:r>
            <w:rPr>
              <w:rFonts w:hint="eastAsia"/>
              <w:sz w:val="24"/>
              <w:szCs w:val="24"/>
              <w:lang w:eastAsia="zh-CN"/>
            </w:rPr>
            <w:fldChar w:fldCharType="separate"/>
          </w:r>
          <w:r>
            <w:rPr>
              <w:rFonts w:hint="default" w:ascii="Times New Roman" w:hAnsi="Times New Roman" w:eastAsia="宋体" w:cs="Times New Roman"/>
              <w:sz w:val="24"/>
              <w:szCs w:val="24"/>
            </w:rPr>
            <w:t>7.1.</w:t>
          </w:r>
          <w:r>
            <w:rPr>
              <w:rFonts w:hint="eastAsia" w:cs="Times New Roman"/>
              <w:sz w:val="24"/>
              <w:szCs w:val="24"/>
              <w:lang w:val="en-US" w:eastAsia="zh-CN"/>
            </w:rPr>
            <w:t>5</w:t>
          </w:r>
          <w:r>
            <w:rPr>
              <w:rFonts w:hint="default" w:ascii="Times New Roman" w:hAnsi="Times New Roman" w:eastAsia="宋体" w:cs="Times New Roman"/>
              <w:sz w:val="24"/>
              <w:szCs w:val="24"/>
            </w:rPr>
            <w:t>突发大气环境事件风险等级表征</w:t>
          </w:r>
          <w:r>
            <w:rPr>
              <w:sz w:val="24"/>
              <w:szCs w:val="24"/>
            </w:rPr>
            <w:tab/>
          </w:r>
          <w:r>
            <w:rPr>
              <w:sz w:val="24"/>
              <w:szCs w:val="24"/>
            </w:rPr>
            <w:fldChar w:fldCharType="begin"/>
          </w:r>
          <w:r>
            <w:rPr>
              <w:sz w:val="24"/>
              <w:szCs w:val="24"/>
            </w:rPr>
            <w:instrText xml:space="preserve"> PAGEREF _Toc28191 \h </w:instrText>
          </w:r>
          <w:r>
            <w:rPr>
              <w:sz w:val="24"/>
              <w:szCs w:val="24"/>
            </w:rPr>
            <w:fldChar w:fldCharType="separate"/>
          </w:r>
          <w:r>
            <w:rPr>
              <w:sz w:val="24"/>
              <w:szCs w:val="24"/>
            </w:rPr>
            <w:t>58</w:t>
          </w:r>
          <w:r>
            <w:rPr>
              <w:sz w:val="24"/>
              <w:szCs w:val="24"/>
            </w:rPr>
            <w:fldChar w:fldCharType="end"/>
          </w:r>
          <w:r>
            <w:rPr>
              <w:rFonts w:hint="eastAsia"/>
              <w:sz w:val="24"/>
              <w:szCs w:val="24"/>
              <w:lang w:eastAsia="zh-CN"/>
            </w:rPr>
            <w:fldChar w:fldCharType="end"/>
          </w:r>
        </w:p>
        <w:p>
          <w:pPr>
            <w:pStyle w:val="37"/>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_Toc26743 </w:instrText>
          </w:r>
          <w:r>
            <w:rPr>
              <w:rFonts w:hint="eastAsia"/>
              <w:sz w:val="24"/>
              <w:szCs w:val="24"/>
              <w:lang w:eastAsia="zh-CN"/>
            </w:rPr>
            <w:fldChar w:fldCharType="separate"/>
          </w:r>
          <w:r>
            <w:rPr>
              <w:rFonts w:hint="default" w:ascii="Times New Roman" w:hAnsi="Times New Roman" w:eastAsia="宋体" w:cs="Times New Roman"/>
              <w:sz w:val="24"/>
              <w:szCs w:val="24"/>
              <w:lang w:val="en-US" w:eastAsia="zh-CN"/>
            </w:rPr>
            <w:t>7.2突发水环境事件风险分级</w:t>
          </w:r>
          <w:r>
            <w:rPr>
              <w:sz w:val="24"/>
              <w:szCs w:val="24"/>
            </w:rPr>
            <w:tab/>
          </w:r>
          <w:r>
            <w:rPr>
              <w:sz w:val="24"/>
              <w:szCs w:val="24"/>
            </w:rPr>
            <w:fldChar w:fldCharType="begin"/>
          </w:r>
          <w:r>
            <w:rPr>
              <w:sz w:val="24"/>
              <w:szCs w:val="24"/>
            </w:rPr>
            <w:instrText xml:space="preserve"> PAGEREF _Toc26743 \h </w:instrText>
          </w:r>
          <w:r>
            <w:rPr>
              <w:sz w:val="24"/>
              <w:szCs w:val="24"/>
            </w:rPr>
            <w:fldChar w:fldCharType="separate"/>
          </w:r>
          <w:r>
            <w:rPr>
              <w:sz w:val="24"/>
              <w:szCs w:val="24"/>
            </w:rPr>
            <w:t>58</w:t>
          </w:r>
          <w:r>
            <w:rPr>
              <w:sz w:val="24"/>
              <w:szCs w:val="24"/>
            </w:rPr>
            <w:fldChar w:fldCharType="end"/>
          </w:r>
          <w:r>
            <w:rPr>
              <w:rFonts w:hint="eastAsia"/>
              <w:sz w:val="24"/>
              <w:szCs w:val="24"/>
              <w:lang w:eastAsia="zh-CN"/>
            </w:rPr>
            <w:fldChar w:fldCharType="end"/>
          </w:r>
        </w:p>
        <w:p>
          <w:pPr>
            <w:pStyle w:val="37"/>
            <w:keepNext w:val="0"/>
            <w:keepLines w:val="0"/>
            <w:pageBreakBefore w:val="0"/>
            <w:tabs>
              <w:tab w:val="right" w:leader="dot" w:pos="8306"/>
            </w:tabs>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_Toc18742 </w:instrText>
          </w:r>
          <w:r>
            <w:rPr>
              <w:rFonts w:hint="eastAsia"/>
              <w:sz w:val="24"/>
              <w:szCs w:val="24"/>
              <w:lang w:eastAsia="zh-CN"/>
            </w:rPr>
            <w:fldChar w:fldCharType="separate"/>
          </w:r>
          <w:r>
            <w:rPr>
              <w:rFonts w:hint="default" w:ascii="Times New Roman" w:hAnsi="Times New Roman" w:eastAsia="宋体" w:cs="Times New Roman"/>
              <w:sz w:val="24"/>
              <w:szCs w:val="24"/>
            </w:rPr>
            <w:t>7.2.1涉水环境风险物质数量与其临界量比值（Q）</w:t>
          </w:r>
          <w:r>
            <w:rPr>
              <w:sz w:val="24"/>
              <w:szCs w:val="24"/>
            </w:rPr>
            <w:tab/>
          </w:r>
          <w:r>
            <w:rPr>
              <w:sz w:val="24"/>
              <w:szCs w:val="24"/>
            </w:rPr>
            <w:fldChar w:fldCharType="begin"/>
          </w:r>
          <w:r>
            <w:rPr>
              <w:sz w:val="24"/>
              <w:szCs w:val="24"/>
            </w:rPr>
            <w:instrText xml:space="preserve"> PAGEREF _Toc18742 \h </w:instrText>
          </w:r>
          <w:r>
            <w:rPr>
              <w:sz w:val="24"/>
              <w:szCs w:val="24"/>
            </w:rPr>
            <w:fldChar w:fldCharType="separate"/>
          </w:r>
          <w:r>
            <w:rPr>
              <w:sz w:val="24"/>
              <w:szCs w:val="24"/>
            </w:rPr>
            <w:t>58</w:t>
          </w:r>
          <w:r>
            <w:rPr>
              <w:sz w:val="24"/>
              <w:szCs w:val="24"/>
            </w:rPr>
            <w:fldChar w:fldCharType="end"/>
          </w:r>
          <w:r>
            <w:rPr>
              <w:rFonts w:hint="eastAsia"/>
              <w:sz w:val="24"/>
              <w:szCs w:val="24"/>
              <w:lang w:eastAsia="zh-CN"/>
            </w:rPr>
            <w:fldChar w:fldCharType="end"/>
          </w:r>
        </w:p>
        <w:p>
          <w:pPr>
            <w:pStyle w:val="37"/>
            <w:keepNext w:val="0"/>
            <w:keepLines w:val="0"/>
            <w:pageBreakBefore w:val="0"/>
            <w:tabs>
              <w:tab w:val="right" w:leader="dot" w:pos="8306"/>
            </w:tabs>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_Toc29078 </w:instrText>
          </w:r>
          <w:r>
            <w:rPr>
              <w:rFonts w:hint="eastAsia"/>
              <w:sz w:val="24"/>
              <w:szCs w:val="24"/>
              <w:lang w:eastAsia="zh-CN"/>
            </w:rPr>
            <w:fldChar w:fldCharType="separate"/>
          </w:r>
          <w:r>
            <w:rPr>
              <w:rFonts w:hint="default" w:ascii="Times New Roman" w:hAnsi="Times New Roman" w:eastAsia="宋体" w:cs="Times New Roman"/>
              <w:sz w:val="24"/>
              <w:szCs w:val="24"/>
            </w:rPr>
            <w:t>7.2.2生产工艺过程与水环境风险控制水平（M）评估</w:t>
          </w:r>
          <w:r>
            <w:rPr>
              <w:sz w:val="24"/>
              <w:szCs w:val="24"/>
            </w:rPr>
            <w:tab/>
          </w:r>
          <w:r>
            <w:rPr>
              <w:sz w:val="24"/>
              <w:szCs w:val="24"/>
            </w:rPr>
            <w:fldChar w:fldCharType="begin"/>
          </w:r>
          <w:r>
            <w:rPr>
              <w:sz w:val="24"/>
              <w:szCs w:val="24"/>
            </w:rPr>
            <w:instrText xml:space="preserve"> PAGEREF _Toc29078 \h </w:instrText>
          </w:r>
          <w:r>
            <w:rPr>
              <w:sz w:val="24"/>
              <w:szCs w:val="24"/>
            </w:rPr>
            <w:fldChar w:fldCharType="separate"/>
          </w:r>
          <w:r>
            <w:rPr>
              <w:sz w:val="24"/>
              <w:szCs w:val="24"/>
            </w:rPr>
            <w:t>58</w:t>
          </w:r>
          <w:r>
            <w:rPr>
              <w:sz w:val="24"/>
              <w:szCs w:val="24"/>
            </w:rPr>
            <w:fldChar w:fldCharType="end"/>
          </w:r>
          <w:r>
            <w:rPr>
              <w:rFonts w:hint="eastAsia"/>
              <w:sz w:val="24"/>
              <w:szCs w:val="24"/>
              <w:lang w:eastAsia="zh-CN"/>
            </w:rPr>
            <w:fldChar w:fldCharType="end"/>
          </w:r>
        </w:p>
        <w:p>
          <w:pPr>
            <w:pStyle w:val="37"/>
            <w:keepNext w:val="0"/>
            <w:keepLines w:val="0"/>
            <w:pageBreakBefore w:val="0"/>
            <w:tabs>
              <w:tab w:val="right" w:leader="dot" w:pos="8306"/>
            </w:tabs>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_Toc29210 </w:instrText>
          </w:r>
          <w:r>
            <w:rPr>
              <w:rFonts w:hint="eastAsia"/>
              <w:sz w:val="24"/>
              <w:szCs w:val="24"/>
              <w:lang w:eastAsia="zh-CN"/>
            </w:rPr>
            <w:fldChar w:fldCharType="separate"/>
          </w:r>
          <w:r>
            <w:rPr>
              <w:rFonts w:hint="default" w:ascii="Times New Roman" w:hAnsi="Times New Roman" w:eastAsia="宋体" w:cs="Times New Roman"/>
              <w:sz w:val="24"/>
              <w:szCs w:val="24"/>
            </w:rPr>
            <w:t>7.2.3确定水环境风险受体类型（E）</w:t>
          </w:r>
          <w:r>
            <w:rPr>
              <w:sz w:val="24"/>
              <w:szCs w:val="24"/>
            </w:rPr>
            <w:tab/>
          </w:r>
          <w:r>
            <w:rPr>
              <w:sz w:val="24"/>
              <w:szCs w:val="24"/>
            </w:rPr>
            <w:fldChar w:fldCharType="begin"/>
          </w:r>
          <w:r>
            <w:rPr>
              <w:sz w:val="24"/>
              <w:szCs w:val="24"/>
            </w:rPr>
            <w:instrText xml:space="preserve"> PAGEREF _Toc29210 \h </w:instrText>
          </w:r>
          <w:r>
            <w:rPr>
              <w:sz w:val="24"/>
              <w:szCs w:val="24"/>
            </w:rPr>
            <w:fldChar w:fldCharType="separate"/>
          </w:r>
          <w:r>
            <w:rPr>
              <w:sz w:val="24"/>
              <w:szCs w:val="24"/>
            </w:rPr>
            <w:t>62</w:t>
          </w:r>
          <w:r>
            <w:rPr>
              <w:sz w:val="24"/>
              <w:szCs w:val="24"/>
            </w:rPr>
            <w:fldChar w:fldCharType="end"/>
          </w:r>
          <w:r>
            <w:rPr>
              <w:rFonts w:hint="eastAsia"/>
              <w:sz w:val="24"/>
              <w:szCs w:val="24"/>
              <w:lang w:eastAsia="zh-CN"/>
            </w:rPr>
            <w:fldChar w:fldCharType="end"/>
          </w:r>
        </w:p>
        <w:p>
          <w:pPr>
            <w:pStyle w:val="37"/>
            <w:keepNext w:val="0"/>
            <w:keepLines w:val="0"/>
            <w:pageBreakBefore w:val="0"/>
            <w:tabs>
              <w:tab w:val="right" w:leader="dot" w:pos="8306"/>
            </w:tabs>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_Toc18743 </w:instrText>
          </w:r>
          <w:r>
            <w:rPr>
              <w:rFonts w:hint="eastAsia"/>
              <w:sz w:val="24"/>
              <w:szCs w:val="24"/>
              <w:lang w:eastAsia="zh-CN"/>
            </w:rPr>
            <w:fldChar w:fldCharType="separate"/>
          </w:r>
          <w:r>
            <w:rPr>
              <w:rFonts w:hint="default" w:ascii="Times New Roman" w:hAnsi="Times New Roman" w:eastAsia="宋体" w:cs="Times New Roman"/>
              <w:sz w:val="24"/>
              <w:szCs w:val="24"/>
            </w:rPr>
            <w:t>7.2.4突发水环境事件风险等级确定</w:t>
          </w:r>
          <w:r>
            <w:rPr>
              <w:sz w:val="24"/>
              <w:szCs w:val="24"/>
            </w:rPr>
            <w:tab/>
          </w:r>
          <w:r>
            <w:rPr>
              <w:sz w:val="24"/>
              <w:szCs w:val="24"/>
            </w:rPr>
            <w:fldChar w:fldCharType="begin"/>
          </w:r>
          <w:r>
            <w:rPr>
              <w:sz w:val="24"/>
              <w:szCs w:val="24"/>
            </w:rPr>
            <w:instrText xml:space="preserve"> PAGEREF _Toc18743 \h </w:instrText>
          </w:r>
          <w:r>
            <w:rPr>
              <w:sz w:val="24"/>
              <w:szCs w:val="24"/>
            </w:rPr>
            <w:fldChar w:fldCharType="separate"/>
          </w:r>
          <w:r>
            <w:rPr>
              <w:sz w:val="24"/>
              <w:szCs w:val="24"/>
            </w:rPr>
            <w:t>63</w:t>
          </w:r>
          <w:r>
            <w:rPr>
              <w:sz w:val="24"/>
              <w:szCs w:val="24"/>
            </w:rPr>
            <w:fldChar w:fldCharType="end"/>
          </w:r>
          <w:r>
            <w:rPr>
              <w:rFonts w:hint="eastAsia"/>
              <w:sz w:val="24"/>
              <w:szCs w:val="24"/>
              <w:lang w:eastAsia="zh-CN"/>
            </w:rPr>
            <w:fldChar w:fldCharType="end"/>
          </w:r>
        </w:p>
        <w:p>
          <w:pPr>
            <w:pStyle w:val="37"/>
            <w:keepNext w:val="0"/>
            <w:keepLines w:val="0"/>
            <w:pageBreakBefore w:val="0"/>
            <w:tabs>
              <w:tab w:val="right" w:leader="dot" w:pos="8306"/>
            </w:tabs>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_Toc27828 </w:instrText>
          </w:r>
          <w:r>
            <w:rPr>
              <w:rFonts w:hint="eastAsia"/>
              <w:sz w:val="24"/>
              <w:szCs w:val="24"/>
              <w:lang w:eastAsia="zh-CN"/>
            </w:rPr>
            <w:fldChar w:fldCharType="separate"/>
          </w:r>
          <w:r>
            <w:rPr>
              <w:rFonts w:hint="default" w:ascii="Times New Roman" w:hAnsi="Times New Roman" w:eastAsia="宋体" w:cs="Times New Roman"/>
              <w:sz w:val="24"/>
              <w:szCs w:val="24"/>
            </w:rPr>
            <w:t>7.2.</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突发水环境事件风险等级表征</w:t>
          </w:r>
          <w:r>
            <w:rPr>
              <w:sz w:val="24"/>
              <w:szCs w:val="24"/>
            </w:rPr>
            <w:tab/>
          </w:r>
          <w:r>
            <w:rPr>
              <w:sz w:val="24"/>
              <w:szCs w:val="24"/>
            </w:rPr>
            <w:fldChar w:fldCharType="begin"/>
          </w:r>
          <w:r>
            <w:rPr>
              <w:sz w:val="24"/>
              <w:szCs w:val="24"/>
            </w:rPr>
            <w:instrText xml:space="preserve"> PAGEREF _Toc27828 \h </w:instrText>
          </w:r>
          <w:r>
            <w:rPr>
              <w:sz w:val="24"/>
              <w:szCs w:val="24"/>
            </w:rPr>
            <w:fldChar w:fldCharType="separate"/>
          </w:r>
          <w:r>
            <w:rPr>
              <w:sz w:val="24"/>
              <w:szCs w:val="24"/>
            </w:rPr>
            <w:t>63</w:t>
          </w:r>
          <w:r>
            <w:rPr>
              <w:sz w:val="24"/>
              <w:szCs w:val="24"/>
            </w:rPr>
            <w:fldChar w:fldCharType="end"/>
          </w:r>
          <w:r>
            <w:rPr>
              <w:rFonts w:hint="eastAsia"/>
              <w:sz w:val="24"/>
              <w:szCs w:val="24"/>
              <w:lang w:eastAsia="zh-CN"/>
            </w:rPr>
            <w:fldChar w:fldCharType="end"/>
          </w:r>
        </w:p>
        <w:p>
          <w:pPr>
            <w:pStyle w:val="37"/>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_Toc21106 </w:instrText>
          </w:r>
          <w:r>
            <w:rPr>
              <w:rFonts w:hint="eastAsia"/>
              <w:sz w:val="24"/>
              <w:szCs w:val="24"/>
              <w:lang w:eastAsia="zh-CN"/>
            </w:rPr>
            <w:fldChar w:fldCharType="separate"/>
          </w:r>
          <w:r>
            <w:rPr>
              <w:rFonts w:hint="default" w:ascii="Times New Roman" w:hAnsi="Times New Roman" w:eastAsia="宋体" w:cs="Times New Roman"/>
              <w:sz w:val="24"/>
              <w:szCs w:val="24"/>
            </w:rPr>
            <w:t>7.3企业突发环境事件风险等级确定与调整</w:t>
          </w:r>
          <w:r>
            <w:rPr>
              <w:sz w:val="24"/>
              <w:szCs w:val="24"/>
            </w:rPr>
            <w:tab/>
          </w:r>
          <w:r>
            <w:rPr>
              <w:sz w:val="24"/>
              <w:szCs w:val="24"/>
            </w:rPr>
            <w:fldChar w:fldCharType="begin"/>
          </w:r>
          <w:r>
            <w:rPr>
              <w:sz w:val="24"/>
              <w:szCs w:val="24"/>
            </w:rPr>
            <w:instrText xml:space="preserve"> PAGEREF _Toc21106 \h </w:instrText>
          </w:r>
          <w:r>
            <w:rPr>
              <w:sz w:val="24"/>
              <w:szCs w:val="24"/>
            </w:rPr>
            <w:fldChar w:fldCharType="separate"/>
          </w:r>
          <w:r>
            <w:rPr>
              <w:sz w:val="24"/>
              <w:szCs w:val="24"/>
            </w:rPr>
            <w:t>63</w:t>
          </w:r>
          <w:r>
            <w:rPr>
              <w:sz w:val="24"/>
              <w:szCs w:val="24"/>
            </w:rPr>
            <w:fldChar w:fldCharType="end"/>
          </w:r>
          <w:r>
            <w:rPr>
              <w:rFonts w:hint="eastAsia"/>
              <w:sz w:val="24"/>
              <w:szCs w:val="24"/>
              <w:lang w:eastAsia="zh-CN"/>
            </w:rPr>
            <w:fldChar w:fldCharType="end"/>
          </w:r>
        </w:p>
        <w:p>
          <w:pPr>
            <w:pStyle w:val="37"/>
            <w:keepNext w:val="0"/>
            <w:keepLines w:val="0"/>
            <w:pageBreakBefore w:val="0"/>
            <w:tabs>
              <w:tab w:val="right" w:leader="dot" w:pos="8306"/>
            </w:tabs>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_Toc4227 </w:instrText>
          </w:r>
          <w:r>
            <w:rPr>
              <w:rFonts w:hint="eastAsia"/>
              <w:sz w:val="24"/>
              <w:szCs w:val="24"/>
              <w:lang w:eastAsia="zh-CN"/>
            </w:rPr>
            <w:fldChar w:fldCharType="separate"/>
          </w:r>
          <w:r>
            <w:rPr>
              <w:rFonts w:hint="default" w:ascii="Times New Roman" w:hAnsi="Times New Roman" w:eastAsia="宋体" w:cs="Times New Roman"/>
              <w:sz w:val="24"/>
              <w:szCs w:val="24"/>
            </w:rPr>
            <w:t>7.3.1风险等级确定</w:t>
          </w:r>
          <w:r>
            <w:rPr>
              <w:sz w:val="24"/>
              <w:szCs w:val="24"/>
            </w:rPr>
            <w:tab/>
          </w:r>
          <w:r>
            <w:rPr>
              <w:sz w:val="24"/>
              <w:szCs w:val="24"/>
            </w:rPr>
            <w:fldChar w:fldCharType="begin"/>
          </w:r>
          <w:r>
            <w:rPr>
              <w:sz w:val="24"/>
              <w:szCs w:val="24"/>
            </w:rPr>
            <w:instrText xml:space="preserve"> PAGEREF _Toc4227 \h </w:instrText>
          </w:r>
          <w:r>
            <w:rPr>
              <w:sz w:val="24"/>
              <w:szCs w:val="24"/>
            </w:rPr>
            <w:fldChar w:fldCharType="separate"/>
          </w:r>
          <w:r>
            <w:rPr>
              <w:sz w:val="24"/>
              <w:szCs w:val="24"/>
            </w:rPr>
            <w:t>63</w:t>
          </w:r>
          <w:r>
            <w:rPr>
              <w:sz w:val="24"/>
              <w:szCs w:val="24"/>
            </w:rPr>
            <w:fldChar w:fldCharType="end"/>
          </w:r>
          <w:r>
            <w:rPr>
              <w:rFonts w:hint="eastAsia"/>
              <w:sz w:val="24"/>
              <w:szCs w:val="24"/>
              <w:lang w:eastAsia="zh-CN"/>
            </w:rPr>
            <w:fldChar w:fldCharType="end"/>
          </w:r>
        </w:p>
        <w:p>
          <w:pPr>
            <w:pStyle w:val="37"/>
            <w:keepNext w:val="0"/>
            <w:keepLines w:val="0"/>
            <w:pageBreakBefore w:val="0"/>
            <w:tabs>
              <w:tab w:val="right" w:leader="dot" w:pos="8306"/>
            </w:tabs>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_Toc10402 </w:instrText>
          </w:r>
          <w:r>
            <w:rPr>
              <w:rFonts w:hint="eastAsia"/>
              <w:sz w:val="24"/>
              <w:szCs w:val="24"/>
              <w:lang w:eastAsia="zh-CN"/>
            </w:rPr>
            <w:fldChar w:fldCharType="separate"/>
          </w:r>
          <w:r>
            <w:rPr>
              <w:rFonts w:hint="default" w:ascii="Times New Roman" w:hAnsi="Times New Roman" w:eastAsia="宋体" w:cs="Times New Roman"/>
              <w:sz w:val="24"/>
              <w:szCs w:val="24"/>
            </w:rPr>
            <w:t>7.3.2风险等级调整</w:t>
          </w:r>
          <w:r>
            <w:rPr>
              <w:sz w:val="24"/>
              <w:szCs w:val="24"/>
            </w:rPr>
            <w:tab/>
          </w:r>
          <w:r>
            <w:rPr>
              <w:sz w:val="24"/>
              <w:szCs w:val="24"/>
            </w:rPr>
            <w:fldChar w:fldCharType="begin"/>
          </w:r>
          <w:r>
            <w:rPr>
              <w:sz w:val="24"/>
              <w:szCs w:val="24"/>
            </w:rPr>
            <w:instrText xml:space="preserve"> PAGEREF _Toc10402 \h </w:instrText>
          </w:r>
          <w:r>
            <w:rPr>
              <w:sz w:val="24"/>
              <w:szCs w:val="24"/>
            </w:rPr>
            <w:fldChar w:fldCharType="separate"/>
          </w:r>
          <w:r>
            <w:rPr>
              <w:sz w:val="24"/>
              <w:szCs w:val="24"/>
            </w:rPr>
            <w:t>64</w:t>
          </w:r>
          <w:r>
            <w:rPr>
              <w:sz w:val="24"/>
              <w:szCs w:val="24"/>
            </w:rPr>
            <w:fldChar w:fldCharType="end"/>
          </w:r>
          <w:r>
            <w:rPr>
              <w:rFonts w:hint="eastAsia"/>
              <w:sz w:val="24"/>
              <w:szCs w:val="24"/>
              <w:lang w:eastAsia="zh-CN"/>
            </w:rPr>
            <w:fldChar w:fldCharType="end"/>
          </w:r>
        </w:p>
        <w:p>
          <w:pPr>
            <w:pStyle w:val="37"/>
            <w:keepNext w:val="0"/>
            <w:keepLines w:val="0"/>
            <w:pageBreakBefore w:val="0"/>
            <w:tabs>
              <w:tab w:val="right" w:leader="dot" w:pos="8306"/>
            </w:tabs>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_Toc18626 </w:instrText>
          </w:r>
          <w:r>
            <w:rPr>
              <w:rFonts w:hint="eastAsia"/>
              <w:sz w:val="24"/>
              <w:szCs w:val="24"/>
              <w:lang w:eastAsia="zh-CN"/>
            </w:rPr>
            <w:fldChar w:fldCharType="separate"/>
          </w:r>
          <w:r>
            <w:rPr>
              <w:rFonts w:hint="default" w:ascii="Times New Roman" w:hAnsi="Times New Roman" w:eastAsia="宋体" w:cs="Times New Roman"/>
              <w:sz w:val="24"/>
              <w:szCs w:val="24"/>
            </w:rPr>
            <w:t>7.3.3风险等级表征</w:t>
          </w:r>
          <w:r>
            <w:rPr>
              <w:sz w:val="24"/>
              <w:szCs w:val="24"/>
            </w:rPr>
            <w:tab/>
          </w:r>
          <w:r>
            <w:rPr>
              <w:sz w:val="24"/>
              <w:szCs w:val="24"/>
            </w:rPr>
            <w:fldChar w:fldCharType="begin"/>
          </w:r>
          <w:r>
            <w:rPr>
              <w:sz w:val="24"/>
              <w:szCs w:val="24"/>
            </w:rPr>
            <w:instrText xml:space="preserve"> PAGEREF _Toc18626 \h </w:instrText>
          </w:r>
          <w:r>
            <w:rPr>
              <w:sz w:val="24"/>
              <w:szCs w:val="24"/>
            </w:rPr>
            <w:fldChar w:fldCharType="separate"/>
          </w:r>
          <w:r>
            <w:rPr>
              <w:sz w:val="24"/>
              <w:szCs w:val="24"/>
            </w:rPr>
            <w:t>64</w:t>
          </w:r>
          <w:r>
            <w:rPr>
              <w:sz w:val="24"/>
              <w:szCs w:val="24"/>
            </w:rPr>
            <w:fldChar w:fldCharType="end"/>
          </w:r>
          <w:r>
            <w:rPr>
              <w:rFonts w:hint="eastAsia"/>
              <w:sz w:val="24"/>
              <w:szCs w:val="24"/>
              <w:lang w:eastAsia="zh-CN"/>
            </w:rPr>
            <w:fldChar w:fldCharType="end"/>
          </w:r>
        </w:p>
        <w:p>
          <w:pPr>
            <w:pStyle w:val="36"/>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fldChar w:fldCharType="begin"/>
          </w:r>
          <w:r>
            <w:rPr>
              <w:rFonts w:hint="eastAsia"/>
              <w:sz w:val="24"/>
              <w:szCs w:val="24"/>
              <w:lang w:eastAsia="zh-CN"/>
            </w:rPr>
            <w:instrText xml:space="preserve"> HYPERLINK \l _Toc20635 </w:instrText>
          </w:r>
          <w:r>
            <w:rPr>
              <w:rFonts w:hint="eastAsia"/>
              <w:sz w:val="24"/>
              <w:szCs w:val="24"/>
              <w:lang w:eastAsia="zh-CN"/>
            </w:rPr>
            <w:fldChar w:fldCharType="separate"/>
          </w:r>
          <w:r>
            <w:rPr>
              <w:rFonts w:hint="default" w:ascii="Times New Roman" w:hAnsi="Times New Roman" w:cs="Times New Roman"/>
              <w:kern w:val="0"/>
              <w:sz w:val="24"/>
              <w:szCs w:val="24"/>
              <w:lang w:val="en-US" w:eastAsia="zh-CN"/>
            </w:rPr>
            <w:t>8</w:t>
          </w:r>
          <w:r>
            <w:rPr>
              <w:rFonts w:hint="default" w:ascii="Times New Roman" w:hAnsi="Times New Roman" w:cs="Times New Roman"/>
              <w:kern w:val="0"/>
              <w:sz w:val="24"/>
              <w:szCs w:val="24"/>
            </w:rPr>
            <w:t>附图</w:t>
          </w:r>
          <w:r>
            <w:rPr>
              <w:sz w:val="24"/>
              <w:szCs w:val="24"/>
            </w:rPr>
            <w:tab/>
          </w:r>
          <w:r>
            <w:rPr>
              <w:sz w:val="24"/>
              <w:szCs w:val="24"/>
            </w:rPr>
            <w:fldChar w:fldCharType="begin"/>
          </w:r>
          <w:r>
            <w:rPr>
              <w:sz w:val="24"/>
              <w:szCs w:val="24"/>
            </w:rPr>
            <w:instrText xml:space="preserve"> PAGEREF _Toc20635 \h </w:instrText>
          </w:r>
          <w:r>
            <w:rPr>
              <w:sz w:val="24"/>
              <w:szCs w:val="24"/>
            </w:rPr>
            <w:fldChar w:fldCharType="separate"/>
          </w:r>
          <w:r>
            <w:rPr>
              <w:sz w:val="24"/>
              <w:szCs w:val="24"/>
            </w:rPr>
            <w:t>65</w:t>
          </w:r>
          <w:r>
            <w:rPr>
              <w:sz w:val="24"/>
              <w:szCs w:val="24"/>
            </w:rPr>
            <w:fldChar w:fldCharType="end"/>
          </w:r>
          <w:r>
            <w:rPr>
              <w:rFonts w:hint="eastAsia"/>
              <w:sz w:val="24"/>
              <w:szCs w:val="24"/>
              <w:lang w:eastAsia="zh-CN"/>
            </w:rPr>
            <w:fldChar w:fldCharType="end"/>
          </w:r>
        </w:p>
        <w:p>
          <w:pPr>
            <w:pStyle w:val="12"/>
            <w:keepNext w:val="0"/>
            <w:keepLines w:val="0"/>
            <w:pageBreakBefore w:val="0"/>
            <w:kinsoku/>
            <w:wordWrap/>
            <w:overflowPunct/>
            <w:topLinePunct w:val="0"/>
            <w:autoSpaceDE/>
            <w:autoSpaceDN/>
            <w:bidi w:val="0"/>
            <w:adjustRightInd/>
            <w:snapToGrid/>
            <w:spacing w:line="360" w:lineRule="auto"/>
            <w:textAlignment w:val="auto"/>
            <w:outlineLvl w:val="9"/>
            <w:rPr>
              <w:rFonts w:hint="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sz w:val="24"/>
              <w:szCs w:val="24"/>
              <w:lang w:eastAsia="zh-CN"/>
            </w:rPr>
            <w:fldChar w:fldCharType="end"/>
          </w:r>
        </w:p>
      </w:sdtContent>
    </w:sdt>
    <w:p>
      <w:pPr>
        <w:pStyle w:val="20"/>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b/>
          <w:bCs/>
          <w:sz w:val="32"/>
          <w:szCs w:val="32"/>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bookmarkStart w:id="0" w:name="_Toc469385552"/>
      <w:bookmarkStart w:id="1" w:name="_Toc24195"/>
    </w:p>
    <w:p>
      <w:pPr>
        <w:pStyle w:val="2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32"/>
          <w:szCs w:val="32"/>
        </w:rPr>
      </w:pPr>
      <w:r>
        <w:rPr>
          <w:rFonts w:hint="eastAsia" w:eastAsia="宋体" w:cs="Times New Roman"/>
          <w:b/>
          <w:bCs/>
          <w:sz w:val="32"/>
          <w:szCs w:val="32"/>
          <w:lang w:val="en-US" w:eastAsia="zh-CN"/>
        </w:rPr>
        <w:t>1</w:t>
      </w:r>
      <w:r>
        <w:rPr>
          <w:rFonts w:hint="default" w:ascii="Times New Roman" w:hAnsi="Times New Roman" w:eastAsia="宋体" w:cs="Times New Roman"/>
          <w:b/>
          <w:bCs/>
          <w:sz w:val="32"/>
          <w:szCs w:val="32"/>
        </w:rPr>
        <w:t>前</w:t>
      </w:r>
      <w:r>
        <w:rPr>
          <w:rFonts w:hint="default" w:ascii="Times New Roman" w:hAnsi="Times New Roman" w:eastAsia="宋体" w:cs="Times New Roman"/>
          <w:b/>
          <w:bCs/>
          <w:sz w:val="32"/>
          <w:szCs w:val="32"/>
          <w:lang w:val="en-US" w:eastAsia="zh-CN"/>
        </w:rPr>
        <w:t xml:space="preserve">  </w:t>
      </w:r>
      <w:r>
        <w:rPr>
          <w:rFonts w:hint="default" w:ascii="Times New Roman" w:hAnsi="Times New Roman" w:eastAsia="宋体" w:cs="Times New Roman"/>
          <w:b/>
          <w:bCs/>
          <w:sz w:val="32"/>
          <w:szCs w:val="32"/>
        </w:rPr>
        <w:t>言</w:t>
      </w:r>
      <w:bookmarkEnd w:id="0"/>
      <w:bookmarkEnd w:id="1"/>
    </w:p>
    <w:p>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eastAsia="zh-CN"/>
        </w:rPr>
        <w:t>中国石化销售股份有限公司华中分公司九江油库位于九江市东郊，京九铁路东侧九江市滨江东路103号，北濒长江，西依张家山（又称金鸡山）。九江油库共有两座油库，一库</w:t>
      </w:r>
      <w:r>
        <w:rPr>
          <w:rFonts w:hint="eastAsia" w:cs="Times New Roman"/>
          <w:highlight w:val="none"/>
          <w:lang w:val="en-US" w:eastAsia="zh-CN"/>
        </w:rPr>
        <w:t xml:space="preserve"> </w:t>
      </w:r>
      <w:r>
        <w:rPr>
          <w:rFonts w:hint="default" w:ascii="Times New Roman" w:hAnsi="Times New Roman" w:eastAsia="宋体" w:cs="Times New Roman"/>
          <w:highlight w:val="none"/>
          <w:lang w:eastAsia="zh-CN"/>
        </w:rPr>
        <w:t>的前身是英商亚细亚火油公司和美商美孚石油公司油栈，建于1906年-1910年，称为金鸡坡油栈（俗称洋油栈）。二库是1966年批准建造的战略战备油库，1969年全部建成投产，于2007年进行改造，建成为“九江-南昌-樟树”成品油长输管线首站。2014年10月划转为中国石化销售有限公司华中分公司九江油库。</w:t>
      </w:r>
      <w:r>
        <w:rPr>
          <w:rFonts w:hint="default" w:ascii="Times New Roman" w:hAnsi="Times New Roman" w:eastAsia="宋体" w:cs="Times New Roman"/>
          <w:highlight w:val="none"/>
          <w:lang w:val="en-US" w:eastAsia="zh-CN"/>
        </w:rPr>
        <w:t>2017年</w:t>
      </w:r>
      <w:r>
        <w:rPr>
          <w:rFonts w:hint="eastAsia" w:cs="Times New Roman"/>
          <w:highlight w:val="none"/>
          <w:lang w:val="en-US" w:eastAsia="zh-CN"/>
        </w:rPr>
        <w:t>油库</w:t>
      </w:r>
      <w:r>
        <w:rPr>
          <w:rFonts w:hint="default" w:ascii="Times New Roman" w:hAnsi="Times New Roman" w:eastAsia="宋体" w:cs="Times New Roman"/>
          <w:highlight w:val="none"/>
          <w:lang w:val="en-US" w:eastAsia="zh-CN"/>
        </w:rPr>
        <w:t>进行隐患改造工程项目，现（2021年</w:t>
      </w:r>
      <w:r>
        <w:rPr>
          <w:rFonts w:hint="eastAsia" w:cs="Times New Roman"/>
          <w:highlight w:val="none"/>
          <w:lang w:val="en-US" w:eastAsia="zh-CN"/>
        </w:rPr>
        <w:t>10</w:t>
      </w:r>
      <w:r>
        <w:rPr>
          <w:rFonts w:hint="default" w:ascii="Times New Roman" w:hAnsi="Times New Roman" w:eastAsia="宋体" w:cs="Times New Roman"/>
          <w:highlight w:val="none"/>
          <w:lang w:val="en-US" w:eastAsia="zh-CN"/>
        </w:rPr>
        <w:t>月）部分建设完成。</w:t>
      </w:r>
    </w:p>
    <w:p>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现有油库总</w:t>
      </w:r>
      <w:r>
        <w:rPr>
          <w:rFonts w:hint="default" w:ascii="Times New Roman" w:hAnsi="Times New Roman" w:eastAsia="宋体" w:cs="Times New Roman"/>
          <w:color w:val="auto"/>
          <w:lang w:eastAsia="zh-CN"/>
        </w:rPr>
        <w:t>占地面积190000平方米（约合285亩），分一、二库两个区：其中一库占地面积为27999平方米(原72亩，2011年滨江生态园改造后40亩)，具体位于九江市滨江东路</w:t>
      </w:r>
      <w:r>
        <w:rPr>
          <w:rFonts w:hint="default" w:ascii="Times New Roman" w:hAnsi="Times New Roman" w:eastAsia="宋体" w:cs="Times New Roman"/>
          <w:color w:val="auto"/>
          <w:lang w:val="en-US" w:eastAsia="zh-CN"/>
        </w:rPr>
        <w:t>30号</w:t>
      </w:r>
      <w:r>
        <w:rPr>
          <w:rFonts w:hint="default" w:ascii="Times New Roman" w:hAnsi="Times New Roman" w:eastAsia="宋体" w:cs="Times New Roman"/>
          <w:color w:val="auto"/>
          <w:lang w:eastAsia="zh-CN"/>
        </w:rPr>
        <w:t>，原有</w:t>
      </w:r>
      <w:r>
        <w:rPr>
          <w:rFonts w:hint="default" w:ascii="Times New Roman" w:hAnsi="Times New Roman" w:eastAsia="宋体" w:cs="Times New Roman"/>
          <w:color w:val="auto"/>
        </w:rPr>
        <w:t>2座浮顶立式柴油罐（1座2000m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，1座3000m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）及1座2000m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浮顶立式汽油罐</w:t>
      </w:r>
      <w:r>
        <w:rPr>
          <w:rFonts w:hint="default" w:ascii="Times New Roman" w:hAnsi="Times New Roman" w:eastAsia="宋体" w:cs="Times New Roman"/>
          <w:color w:val="auto"/>
          <w:lang w:eastAsia="zh-CN"/>
        </w:rPr>
        <w:t>已拆除，陆地上原有的油泵房、办公室等建筑均拆除，仅保留码头趸船、码头栈桥以及门卫室</w:t>
      </w:r>
      <w:r>
        <w:rPr>
          <w:rFonts w:hint="default" w:ascii="Times New Roman" w:hAnsi="Times New Roman" w:eastAsia="宋体" w:cs="Times New Roman"/>
          <w:color w:val="auto"/>
          <w:highlight w:val="none"/>
          <w:lang w:val="en-US" w:eastAsia="zh-CN"/>
        </w:rPr>
        <w:t>，一库工作任务仅为油品装卸并通过管道运输至二库</w:t>
      </w:r>
      <w:r>
        <w:rPr>
          <w:rFonts w:hint="default" w:ascii="Times New Roman" w:hAnsi="Times New Roman" w:eastAsia="宋体" w:cs="Times New Roman"/>
          <w:color w:val="auto"/>
          <w:lang w:eastAsia="zh-CN"/>
        </w:rPr>
        <w:t>；二库为163333平方米（约合245亩），具体位于九江市滨江东路103号，</w:t>
      </w:r>
      <w:r>
        <w:rPr>
          <w:rFonts w:hint="default" w:ascii="Times New Roman" w:hAnsi="Times New Roman" w:eastAsia="宋体" w:cs="Times New Roman"/>
          <w:color w:val="auto"/>
        </w:rPr>
        <w:t>二库现有1</w:t>
      </w:r>
      <w:r>
        <w:rPr>
          <w:rFonts w:hint="default" w:ascii="Times New Roman" w:hAnsi="Times New Roman" w:eastAsia="宋体" w:cs="Times New Roman"/>
        </w:rPr>
        <w:t>6座储油罐，分别为</w:t>
      </w:r>
      <w:r>
        <w:rPr>
          <w:rFonts w:hint="eastAsia" w:cs="Times New Roman"/>
          <w:lang w:val="en-US" w:eastAsia="zh-CN"/>
        </w:rPr>
        <w:t>2</w:t>
      </w:r>
      <w:r>
        <w:rPr>
          <w:rFonts w:hint="default" w:ascii="Times New Roman" w:hAnsi="Times New Roman" w:eastAsia="宋体" w:cs="Times New Roman"/>
        </w:rPr>
        <w:t>座5000 m</w:t>
      </w:r>
      <w:r>
        <w:rPr>
          <w:rFonts w:hint="default" w:ascii="Times New Roman" w:hAnsi="Times New Roman" w:eastAsia="宋体" w:cs="Times New Roman"/>
          <w:vertAlign w:val="superscript"/>
        </w:rPr>
        <w:t>3</w:t>
      </w:r>
      <w:r>
        <w:rPr>
          <w:rFonts w:hint="default" w:ascii="Times New Roman" w:hAnsi="Times New Roman" w:eastAsia="宋体" w:cs="Times New Roman"/>
        </w:rPr>
        <w:t>、3座30000m</w:t>
      </w:r>
      <w:r>
        <w:rPr>
          <w:rFonts w:hint="default" w:ascii="Times New Roman" w:hAnsi="Times New Roman" w:eastAsia="宋体" w:cs="Times New Roman"/>
          <w:vertAlign w:val="superscript"/>
        </w:rPr>
        <w:t>3</w:t>
      </w:r>
      <w:r>
        <w:rPr>
          <w:rFonts w:hint="default" w:ascii="Times New Roman" w:hAnsi="Times New Roman" w:eastAsia="宋体" w:cs="Times New Roman"/>
        </w:rPr>
        <w:t>柴油罐，4座10000 m</w:t>
      </w:r>
      <w:r>
        <w:rPr>
          <w:rFonts w:hint="default" w:ascii="Times New Roman" w:hAnsi="Times New Roman" w:eastAsia="宋体" w:cs="Times New Roman"/>
          <w:vertAlign w:val="superscript"/>
        </w:rPr>
        <w:t>3</w:t>
      </w:r>
      <w:r>
        <w:rPr>
          <w:rFonts w:hint="default" w:ascii="Times New Roman" w:hAnsi="Times New Roman" w:eastAsia="宋体" w:cs="Times New Roman"/>
        </w:rPr>
        <w:t>、1座20000 m</w:t>
      </w:r>
      <w:r>
        <w:rPr>
          <w:rFonts w:hint="default" w:ascii="Times New Roman" w:hAnsi="Times New Roman" w:eastAsia="宋体" w:cs="Times New Roman"/>
          <w:vertAlign w:val="superscript"/>
        </w:rPr>
        <w:t>3</w:t>
      </w:r>
      <w:r>
        <w:rPr>
          <w:rFonts w:hint="default" w:ascii="Times New Roman" w:hAnsi="Times New Roman" w:eastAsia="宋体" w:cs="Times New Roman"/>
        </w:rPr>
        <w:t>、</w:t>
      </w:r>
      <w:r>
        <w:rPr>
          <w:rFonts w:hint="eastAsia" w:cs="Times New Roman"/>
          <w:lang w:val="en-US" w:eastAsia="zh-CN"/>
        </w:rPr>
        <w:t>6</w:t>
      </w:r>
      <w:r>
        <w:rPr>
          <w:rFonts w:hint="default" w:ascii="Times New Roman" w:hAnsi="Times New Roman" w:eastAsia="宋体" w:cs="Times New Roman"/>
        </w:rPr>
        <w:t>座5000 m</w:t>
      </w:r>
      <w:r>
        <w:rPr>
          <w:rFonts w:hint="default" w:ascii="Times New Roman" w:hAnsi="Times New Roman" w:eastAsia="宋体" w:cs="Times New Roman"/>
          <w:vertAlign w:val="superscript"/>
        </w:rPr>
        <w:t>3</w:t>
      </w:r>
      <w:r>
        <w:rPr>
          <w:rFonts w:hint="default" w:ascii="Times New Roman" w:hAnsi="Times New Roman" w:eastAsia="宋体" w:cs="Times New Roman"/>
        </w:rPr>
        <w:t>汽油罐，有6条输油管线与九江石化总厂轻质油品储油区连接，可实现九江石化总厂向金鸡坡油库的管输作业</w:t>
      </w:r>
      <w:r>
        <w:rPr>
          <w:rFonts w:hint="eastAsia" w:cs="Times New Roman"/>
          <w:lang w:eastAsia="zh-CN"/>
        </w:rPr>
        <w:t>，原有库控室和站场现划分为国家管网有限公司，不属于本项目</w:t>
      </w:r>
      <w:r>
        <w:rPr>
          <w:rFonts w:hint="default" w:ascii="Times New Roman" w:hAnsi="Times New Roman" w:eastAsia="宋体" w:cs="Times New Roman"/>
          <w:lang w:eastAsia="zh-CN"/>
        </w:rPr>
        <w:t>。</w:t>
      </w:r>
      <w:r>
        <w:rPr>
          <w:rFonts w:hint="default" w:ascii="Times New Roman" w:hAnsi="Times New Roman" w:eastAsia="宋体" w:cs="Times New Roman"/>
        </w:rPr>
        <w:t>本评估报告仅针对</w:t>
      </w:r>
      <w:r>
        <w:rPr>
          <w:rFonts w:hint="default" w:ascii="Times New Roman" w:hAnsi="Times New Roman" w:eastAsia="宋体" w:cs="Times New Roman"/>
          <w:lang w:eastAsia="zh-CN"/>
        </w:rPr>
        <w:t>中国石化销售股份有限公司华中分公司九江油库</w:t>
      </w:r>
      <w:r>
        <w:rPr>
          <w:rFonts w:hint="default" w:ascii="Times New Roman" w:hAnsi="Times New Roman" w:eastAsia="宋体" w:cs="Times New Roman"/>
        </w:rPr>
        <w:t>厂区内可能发生的突发环境事件的环境风险等级进行评估，不包括输油管道及截断阀室，管道等部分内容见穿越人口密集区突发环境事件专项应急预案及穿越河流处突发环境事件专项应急预案。</w:t>
      </w:r>
    </w:p>
    <w:p>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根据《企业事业单位突发环境事件应急预案备案管理办法》（环发[2015]4号）第十二条</w:t>
      </w:r>
      <w:r>
        <w:rPr>
          <w:rFonts w:hint="default" w:ascii="Times New Roman" w:hAnsi="Times New Roman" w:eastAsia="宋体" w:cs="Times New Roman"/>
          <w:lang w:eastAsia="zh-CN"/>
        </w:rPr>
        <w:t>：</w:t>
      </w:r>
      <w:r>
        <w:rPr>
          <w:rFonts w:hint="default" w:ascii="Times New Roman" w:hAnsi="Times New Roman" w:eastAsia="宋体" w:cs="Times New Roman"/>
        </w:rPr>
        <w:t>企业结合环境应急预案实施情况，至少每三年对环境应急预案进行一次回顾性评估。</w:t>
      </w:r>
      <w:r>
        <w:rPr>
          <w:rFonts w:hint="default" w:ascii="Times New Roman" w:hAnsi="Times New Roman" w:eastAsia="宋体" w:cs="Times New Roman"/>
          <w:lang w:eastAsia="zh-CN"/>
        </w:rPr>
        <w:t>且</w:t>
      </w:r>
      <w:r>
        <w:rPr>
          <w:rFonts w:hint="default" w:ascii="Times New Roman" w:hAnsi="Times New Roman" w:eastAsia="宋体" w:cs="Times New Roman"/>
          <w:sz w:val="24"/>
        </w:rPr>
        <w:t>为了进一步了解化学品在本公司生产、使用过程中由于日常环境释放对外环境和人体健康带来的长期、潜在的不利影响，及企业突发环境事故对环境和生命安全造成的短期不利影响，健全环境污染事件应急机制，有效预防、及时控制和消除突发环境污染事件的危害，本公司组织</w:t>
      </w:r>
      <w:r>
        <w:rPr>
          <w:rFonts w:hint="default" w:ascii="Times New Roman" w:hAnsi="Times New Roman" w:eastAsia="宋体" w:cs="Times New Roman"/>
          <w:sz w:val="24"/>
          <w:lang w:eastAsia="zh-CN"/>
        </w:rPr>
        <w:t>修编</w:t>
      </w:r>
      <w:r>
        <w:rPr>
          <w:rFonts w:hint="default" w:ascii="Times New Roman" w:hAnsi="Times New Roman" w:eastAsia="宋体" w:cs="Times New Roman"/>
          <w:sz w:val="24"/>
        </w:rPr>
        <w:t>本环境风险评估报告</w:t>
      </w:r>
      <w:r>
        <w:rPr>
          <w:rFonts w:hint="default" w:ascii="Times New Roman" w:hAnsi="Times New Roman" w:eastAsia="宋体" w:cs="Times New Roman"/>
        </w:rPr>
        <w:t>。</w:t>
      </w:r>
    </w:p>
    <w:p>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sectPr>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20"/>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sz w:val="32"/>
          <w:szCs w:val="32"/>
          <w:lang w:eastAsia="zh-CN"/>
        </w:rPr>
      </w:pPr>
      <w:bookmarkStart w:id="2" w:name="_Toc23101"/>
      <w:r>
        <w:rPr>
          <w:rFonts w:hint="eastAsia" w:eastAsia="宋体" w:cs="Times New Roman"/>
          <w:b/>
          <w:bCs/>
          <w:sz w:val="32"/>
          <w:szCs w:val="32"/>
          <w:lang w:val="en-US" w:eastAsia="zh-CN"/>
        </w:rPr>
        <w:t>2总则</w:t>
      </w:r>
      <w:bookmarkEnd w:id="2"/>
    </w:p>
    <w:p>
      <w:pPr>
        <w:pStyle w:val="21"/>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outlineLvl w:val="0"/>
        <w:rPr>
          <w:rFonts w:hint="default" w:ascii="Times New Roman" w:hAnsi="Times New Roman" w:eastAsia="宋体" w:cs="Times New Roman"/>
          <w:sz w:val="30"/>
          <w:szCs w:val="30"/>
        </w:rPr>
      </w:pPr>
      <w:bookmarkStart w:id="3" w:name="_Toc469385554"/>
      <w:bookmarkStart w:id="4" w:name="_Toc26793"/>
      <w:r>
        <w:rPr>
          <w:rFonts w:hint="eastAsia" w:eastAsia="宋体" w:cs="Times New Roman"/>
          <w:sz w:val="30"/>
          <w:szCs w:val="30"/>
          <w:lang w:val="en-US" w:eastAsia="zh-CN"/>
        </w:rPr>
        <w:t>2</w:t>
      </w:r>
      <w:r>
        <w:rPr>
          <w:rFonts w:hint="default" w:ascii="Times New Roman" w:hAnsi="Times New Roman" w:eastAsia="宋体" w:cs="Times New Roman"/>
          <w:sz w:val="30"/>
          <w:szCs w:val="30"/>
        </w:rPr>
        <w:t>.1编制原则</w:t>
      </w:r>
      <w:bookmarkEnd w:id="3"/>
      <w:bookmarkEnd w:id="4"/>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中国石化销售股份有限公司华中分公司九江油库环境风险评估报告是对本公司所使用化学品评估过程和结果的总体描述，是提供化学品环境管理与风险决策提供依据。本报告编制应体现科学性、规范性、客观性和真实性的原则。</w:t>
      </w:r>
    </w:p>
    <w:p>
      <w:pPr>
        <w:pStyle w:val="21"/>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outlineLvl w:val="0"/>
        <w:rPr>
          <w:rFonts w:hint="default" w:ascii="Times New Roman" w:hAnsi="Times New Roman" w:eastAsia="宋体" w:cs="Times New Roman"/>
          <w:sz w:val="30"/>
          <w:szCs w:val="30"/>
        </w:rPr>
      </w:pPr>
      <w:bookmarkStart w:id="5" w:name="_Toc31751"/>
      <w:bookmarkStart w:id="6" w:name="_Toc469385555"/>
      <w:r>
        <w:rPr>
          <w:rFonts w:hint="eastAsia" w:eastAsia="宋体" w:cs="Times New Roman"/>
          <w:sz w:val="30"/>
          <w:szCs w:val="30"/>
          <w:lang w:val="en-US" w:eastAsia="zh-CN"/>
        </w:rPr>
        <w:t>2</w:t>
      </w:r>
      <w:r>
        <w:rPr>
          <w:rFonts w:hint="default" w:ascii="Times New Roman" w:hAnsi="Times New Roman" w:eastAsia="宋体" w:cs="Times New Roman"/>
          <w:sz w:val="30"/>
          <w:szCs w:val="30"/>
        </w:rPr>
        <w:t>.2编制依据</w:t>
      </w:r>
      <w:bookmarkEnd w:id="5"/>
      <w:bookmarkEnd w:id="6"/>
    </w:p>
    <w:p>
      <w:pPr>
        <w:pStyle w:val="22"/>
        <w:keepNext w:val="0"/>
        <w:keepLines w:val="0"/>
        <w:pageBreakBefore w:val="0"/>
        <w:widowControl w:val="0"/>
        <w:kinsoku/>
        <w:wordWrap/>
        <w:overflowPunct/>
        <w:topLinePunct w:val="0"/>
        <w:autoSpaceDE/>
        <w:autoSpaceDN/>
        <w:bidi w:val="0"/>
        <w:adjustRightInd/>
        <w:snapToGrid/>
        <w:spacing w:before="0" w:beforeLines="0" w:after="0" w:afterLines="0"/>
        <w:textAlignment w:val="auto"/>
        <w:outlineLvl w:val="1"/>
        <w:rPr>
          <w:rFonts w:hint="default" w:ascii="Times New Roman" w:hAnsi="Times New Roman" w:eastAsia="宋体" w:cs="Times New Roman"/>
        </w:rPr>
      </w:pPr>
      <w:bookmarkStart w:id="7" w:name="_Toc469385556"/>
      <w:bookmarkStart w:id="8" w:name="_Toc31673"/>
      <w:r>
        <w:rPr>
          <w:rFonts w:hint="eastAsia" w:eastAsia="宋体" w:cs="Times New Roman"/>
          <w:lang w:val="en-US" w:eastAsia="zh-CN"/>
        </w:rPr>
        <w:t>2</w:t>
      </w:r>
      <w:r>
        <w:rPr>
          <w:rFonts w:hint="default" w:ascii="Times New Roman" w:hAnsi="Times New Roman" w:eastAsia="宋体" w:cs="Times New Roman"/>
        </w:rPr>
        <w:t>.2.1</w:t>
      </w:r>
      <w:bookmarkEnd w:id="7"/>
      <w:r>
        <w:rPr>
          <w:rFonts w:hint="default" w:ascii="Times New Roman" w:hAnsi="Times New Roman" w:eastAsia="宋体" w:cs="Times New Roman"/>
        </w:rPr>
        <w:t>政策法规</w:t>
      </w:r>
      <w:bookmarkEnd w:id="8"/>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bookmarkStart w:id="9" w:name="_Toc455741274"/>
      <w:bookmarkStart w:id="10" w:name="_Toc6354"/>
      <w:bookmarkStart w:id="11" w:name="_Toc428904831"/>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《中华人民共和国突发事件应对法》（2007年11月1日）；</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（2）《中华人民共和国环境保护法》(2015年1月1日)；</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（3）《中华人民共和国大气污染防治法》（2018年10月26日修订）</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（4）《中华人民共和国水污染防治法》（2018年1月1日）；</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（5）《中华人民共和国固体废物污染环境防治法》(20</w:t>
      </w:r>
      <w:r>
        <w:rPr>
          <w:rFonts w:hint="eastAsia"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年</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月</w:t>
      </w:r>
      <w:r>
        <w:rPr>
          <w:rFonts w:hint="eastAsia" w:cs="Times New Roman"/>
          <w:color w:val="auto"/>
          <w:sz w:val="24"/>
          <w:szCs w:val="24"/>
          <w:highlight w:val="none"/>
          <w:lang w:val="en-US" w:eastAsia="zh-CN"/>
        </w:rPr>
        <w:t>29</w:t>
      </w:r>
      <w:r>
        <w:rPr>
          <w:rFonts w:hint="default" w:ascii="Times New Roman" w:hAnsi="Times New Roman" w:eastAsia="宋体" w:cs="Times New Roman"/>
          <w:color w:val="auto"/>
          <w:sz w:val="24"/>
          <w:szCs w:val="24"/>
          <w:highlight w:val="none"/>
        </w:rPr>
        <w:t>日修订)；</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（6）《中华人民共和国土壤污染防治法》（2019年1.1施行）</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（7）《中华人民共和国安全生产法》（20</w:t>
      </w:r>
      <w:r>
        <w:rPr>
          <w:rFonts w:hint="eastAsia"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年</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月</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日修订）；</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（8）《中华人民共和国消防法》（20</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9年</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月</w:t>
      </w:r>
      <w:r>
        <w:rPr>
          <w:rFonts w:hint="eastAsia"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rPr>
        <w:t>日）；</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（9）《中华人民共和国职业病防治法》（201</w:t>
      </w:r>
      <w:r>
        <w:rPr>
          <w:rFonts w:hint="eastAsia"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年12月</w:t>
      </w:r>
      <w:r>
        <w:rPr>
          <w:rFonts w:hint="eastAsia" w:cs="Times New Roman"/>
          <w:color w:val="auto"/>
          <w:sz w:val="24"/>
          <w:szCs w:val="24"/>
          <w:highlight w:val="none"/>
          <w:lang w:val="en-US" w:eastAsia="zh-CN"/>
        </w:rPr>
        <w:t>29</w:t>
      </w:r>
      <w:r>
        <w:rPr>
          <w:rFonts w:hint="default" w:ascii="Times New Roman" w:hAnsi="Times New Roman" w:eastAsia="宋体" w:cs="Times New Roman"/>
          <w:color w:val="auto"/>
          <w:sz w:val="24"/>
          <w:szCs w:val="24"/>
          <w:highlight w:val="none"/>
        </w:rPr>
        <w:t>日）；</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（10）《企业事业单位突发环境事件应急预案备案管理办法（试行）》（环发[2015]4号）；</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（11）《企业事业单位突发环境事件应急预案评审工作指南（试行）》（环办应急[2018]8号）；</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（12）《突发环境事件应急管理办法》（环境保护部令[2015]34号）；</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（13）《企业突发环境事件风险评估指南（试行）》（环办[2014]34号）；</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（14）《江西省突发公共事件总体应急预案》；</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（15）关于印发《江西省应急预案的通知》的通知（赣府厅字〔2016〕14号）；</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（16）《国家突发环境事件应急预案》；</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（17）《江西省突发事件应对条例》；</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（18）《江西省突发事件预警信息发布管理办法(试行)》；</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（19）《危险化学品重大危险源监督管理暂行规定》（安全监管总局令第40号）；</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（20）《废弃危险化学品污染环境防治办法》(国家环境保护总局令第27号，2005年10月1日起施行)；</w:t>
      </w:r>
    </w:p>
    <w:p>
      <w:pPr>
        <w:keepNext w:val="0"/>
        <w:keepLines w:val="0"/>
        <w:pageBreakBefore w:val="0"/>
        <w:widowControl w:val="0"/>
        <w:numPr>
          <w:ilvl w:val="0"/>
          <w:numId w:val="1"/>
        </w:numPr>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《突发事件应急预案管理方法》（国发办[2013]101号）；</w:t>
      </w:r>
    </w:p>
    <w:p>
      <w:pPr>
        <w:keepNext w:val="0"/>
        <w:keepLines w:val="0"/>
        <w:pageBreakBefore w:val="0"/>
        <w:widowControl w:val="0"/>
        <w:numPr>
          <w:ilvl w:val="0"/>
          <w:numId w:val="1"/>
        </w:numPr>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《危险化学品安全管理条例》（国务院令第591号）；</w:t>
      </w:r>
    </w:p>
    <w:p>
      <w:pPr>
        <w:keepNext w:val="0"/>
        <w:keepLines w:val="0"/>
        <w:pageBreakBefore w:val="0"/>
        <w:widowControl w:val="0"/>
        <w:numPr>
          <w:ilvl w:val="0"/>
          <w:numId w:val="1"/>
        </w:numPr>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《使用有毒物品作业场所劳动保护条例》（国务院令第352号）；</w:t>
      </w:r>
    </w:p>
    <w:p>
      <w:pPr>
        <w:keepNext w:val="0"/>
        <w:keepLines w:val="0"/>
        <w:pageBreakBefore w:val="0"/>
        <w:widowControl w:val="0"/>
        <w:numPr>
          <w:ilvl w:val="0"/>
          <w:numId w:val="1"/>
        </w:numPr>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《国务院关于全面加强应急管理工作的意见》（国发〔2006〕24号）；</w:t>
      </w:r>
    </w:p>
    <w:p>
      <w:pPr>
        <w:keepNext w:val="0"/>
        <w:keepLines w:val="0"/>
        <w:pageBreakBefore w:val="0"/>
        <w:widowControl w:val="0"/>
        <w:numPr>
          <w:ilvl w:val="0"/>
          <w:numId w:val="1"/>
        </w:numPr>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《国务院关于加强环境保护重点工作的意见》（国发〔2011〕35号）；</w:t>
      </w:r>
    </w:p>
    <w:p>
      <w:pPr>
        <w:keepNext w:val="0"/>
        <w:keepLines w:val="0"/>
        <w:pageBreakBefore w:val="0"/>
        <w:widowControl w:val="0"/>
        <w:numPr>
          <w:ilvl w:val="0"/>
          <w:numId w:val="1"/>
        </w:numPr>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《突发环境事件信息报告办法》（环境保护部令第17号）；</w:t>
      </w:r>
    </w:p>
    <w:p>
      <w:pPr>
        <w:keepNext w:val="0"/>
        <w:keepLines w:val="0"/>
        <w:pageBreakBefore w:val="0"/>
        <w:widowControl w:val="0"/>
        <w:numPr>
          <w:ilvl w:val="0"/>
          <w:numId w:val="1"/>
        </w:numPr>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《化学品环境风险防控“十二五”规划》(环发〔2013〕20号)；</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（28）《集中式地表饮用水水源地环境应急管理工作指南（试行）》；</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（29）《重点监管的危险化学品安全措施和应急处置原则》(国家安全生产监督管理总局)；</w:t>
      </w:r>
    </w:p>
    <w:p>
      <w:pPr>
        <w:pStyle w:val="22"/>
        <w:keepNext w:val="0"/>
        <w:keepLines w:val="0"/>
        <w:pageBreakBefore w:val="0"/>
        <w:widowControl w:val="0"/>
        <w:kinsoku/>
        <w:wordWrap/>
        <w:overflowPunct/>
        <w:topLinePunct w:val="0"/>
        <w:autoSpaceDE/>
        <w:autoSpaceDN/>
        <w:bidi w:val="0"/>
        <w:adjustRightInd/>
        <w:snapToGrid/>
        <w:spacing w:before="0" w:beforeLines="0" w:after="0" w:afterLines="0"/>
        <w:textAlignment w:val="auto"/>
        <w:outlineLvl w:val="1"/>
        <w:rPr>
          <w:rFonts w:hint="default" w:ascii="Times New Roman" w:hAnsi="Times New Roman" w:eastAsia="宋体" w:cs="Times New Roman"/>
        </w:rPr>
      </w:pPr>
      <w:bookmarkStart w:id="12" w:name="_Toc28463"/>
      <w:bookmarkStart w:id="13" w:name="_Toc11826"/>
      <w:r>
        <w:rPr>
          <w:rFonts w:hint="eastAsia" w:eastAsia="宋体" w:cs="Times New Roman"/>
          <w:lang w:val="en-US" w:eastAsia="zh-CN"/>
        </w:rPr>
        <w:t>2</w:t>
      </w:r>
      <w:r>
        <w:rPr>
          <w:rFonts w:hint="default" w:ascii="Times New Roman" w:hAnsi="Times New Roman" w:eastAsia="宋体" w:cs="Times New Roman"/>
        </w:rPr>
        <w:t>.2.2技术规范、标准</w:t>
      </w:r>
      <w:bookmarkEnd w:id="9"/>
      <w:bookmarkEnd w:id="10"/>
      <w:bookmarkEnd w:id="11"/>
      <w:bookmarkEnd w:id="12"/>
      <w:bookmarkEnd w:id="13"/>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mallCaps/>
          <w:color w:val="auto"/>
          <w:sz w:val="24"/>
          <w:szCs w:val="24"/>
          <w:highlight w:val="none"/>
        </w:rPr>
      </w:pPr>
      <w:bookmarkStart w:id="14" w:name="_Toc455741275"/>
      <w:bookmarkStart w:id="15" w:name="_Toc914"/>
      <w:bookmarkStart w:id="16" w:name="_Toc428904832"/>
      <w:r>
        <w:rPr>
          <w:rFonts w:hint="default" w:ascii="Times New Roman" w:hAnsi="Times New Roman" w:eastAsia="宋体" w:cs="Times New Roman"/>
          <w:smallCaps/>
          <w:color w:val="auto"/>
          <w:sz w:val="24"/>
          <w:szCs w:val="24"/>
          <w:highlight w:val="none"/>
        </w:rPr>
        <w:t>（1）《危险化学品重大危险源辨识》（GB 18218-20</w:t>
      </w:r>
      <w:r>
        <w:rPr>
          <w:rFonts w:hint="default" w:ascii="Times New Roman" w:hAnsi="Times New Roman" w:eastAsia="宋体" w:cs="Times New Roman"/>
          <w:smallCaps/>
          <w:color w:val="auto"/>
          <w:sz w:val="24"/>
          <w:szCs w:val="24"/>
          <w:highlight w:val="none"/>
          <w:lang w:val="en-US" w:eastAsia="zh-CN"/>
        </w:rPr>
        <w:t>18</w:t>
      </w:r>
      <w:r>
        <w:rPr>
          <w:rFonts w:hint="default" w:ascii="Times New Roman" w:hAnsi="Times New Roman" w:eastAsia="宋体" w:cs="Times New Roman"/>
          <w:smallCaps/>
          <w:color w:val="auto"/>
          <w:sz w:val="24"/>
          <w:szCs w:val="24"/>
          <w:highlight w:val="none"/>
        </w:rPr>
        <w:t>）；</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mallCaps/>
          <w:color w:val="auto"/>
          <w:sz w:val="24"/>
          <w:szCs w:val="24"/>
          <w:highlight w:val="none"/>
        </w:rPr>
      </w:pPr>
      <w:r>
        <w:rPr>
          <w:rFonts w:hint="default" w:ascii="Times New Roman" w:hAnsi="Times New Roman" w:eastAsia="宋体" w:cs="Times New Roman"/>
          <w:smallCaps/>
          <w:color w:val="auto"/>
          <w:sz w:val="24"/>
          <w:szCs w:val="24"/>
          <w:highlight w:val="none"/>
        </w:rPr>
        <w:t>（2）《化工建设项目环境保护设计规范》（GB50483-2009）；</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mallCaps/>
          <w:color w:val="auto"/>
          <w:sz w:val="24"/>
          <w:szCs w:val="24"/>
          <w:highlight w:val="none"/>
        </w:rPr>
      </w:pPr>
      <w:r>
        <w:rPr>
          <w:rFonts w:hint="default" w:ascii="Times New Roman" w:hAnsi="Times New Roman" w:eastAsia="宋体" w:cs="Times New Roman"/>
          <w:smallCaps/>
          <w:color w:val="auto"/>
          <w:sz w:val="24"/>
          <w:szCs w:val="24"/>
          <w:highlight w:val="none"/>
        </w:rPr>
        <w:t>（3）《危险化学品目录》（201</w:t>
      </w:r>
      <w:r>
        <w:rPr>
          <w:rFonts w:hint="default" w:ascii="Times New Roman" w:hAnsi="Times New Roman" w:eastAsia="宋体" w:cs="Times New Roman"/>
          <w:smallCaps/>
          <w:color w:val="auto"/>
          <w:sz w:val="24"/>
          <w:szCs w:val="24"/>
          <w:highlight w:val="none"/>
          <w:lang w:val="en-US" w:eastAsia="zh-CN"/>
        </w:rPr>
        <w:t>9</w:t>
      </w:r>
      <w:r>
        <w:rPr>
          <w:rFonts w:hint="default" w:ascii="Times New Roman" w:hAnsi="Times New Roman" w:eastAsia="宋体" w:cs="Times New Roman"/>
          <w:smallCaps/>
          <w:color w:val="auto"/>
          <w:sz w:val="24"/>
          <w:szCs w:val="24"/>
          <w:highlight w:val="none"/>
        </w:rPr>
        <w:t>年版）；</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mallCaps/>
          <w:color w:val="auto"/>
          <w:sz w:val="24"/>
          <w:szCs w:val="24"/>
          <w:highlight w:val="none"/>
        </w:rPr>
      </w:pPr>
      <w:r>
        <w:rPr>
          <w:rFonts w:hint="default" w:ascii="Times New Roman" w:hAnsi="Times New Roman" w:eastAsia="宋体" w:cs="Times New Roman"/>
          <w:smallCaps/>
          <w:color w:val="auto"/>
          <w:sz w:val="24"/>
          <w:szCs w:val="24"/>
          <w:highlight w:val="none"/>
        </w:rPr>
        <w:t>（4）《工作场所有害因素职业接触限值》（GBZ2-20</w:t>
      </w:r>
      <w:r>
        <w:rPr>
          <w:rFonts w:hint="default" w:ascii="Times New Roman" w:hAnsi="Times New Roman" w:eastAsia="宋体" w:cs="Times New Roman"/>
          <w:smallCaps/>
          <w:color w:val="auto"/>
          <w:sz w:val="24"/>
          <w:szCs w:val="24"/>
          <w:highlight w:val="none"/>
          <w:lang w:val="en-US" w:eastAsia="zh-CN"/>
        </w:rPr>
        <w:t>19</w:t>
      </w:r>
      <w:r>
        <w:rPr>
          <w:rFonts w:hint="default" w:ascii="Times New Roman" w:hAnsi="Times New Roman" w:eastAsia="宋体" w:cs="Times New Roman"/>
          <w:smallCaps/>
          <w:color w:val="auto"/>
          <w:sz w:val="24"/>
          <w:szCs w:val="24"/>
          <w:highlight w:val="none"/>
        </w:rPr>
        <w:t>）；</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mallCaps/>
          <w:color w:val="auto"/>
          <w:sz w:val="24"/>
          <w:szCs w:val="24"/>
          <w:highlight w:val="none"/>
        </w:rPr>
      </w:pPr>
      <w:r>
        <w:rPr>
          <w:rFonts w:hint="default" w:ascii="Times New Roman" w:hAnsi="Times New Roman" w:eastAsia="宋体" w:cs="Times New Roman"/>
          <w:smallCaps/>
          <w:color w:val="auto"/>
          <w:sz w:val="24"/>
          <w:szCs w:val="24"/>
          <w:highlight w:val="none"/>
        </w:rPr>
        <w:t>（5）《国家危险废物名录》（201</w:t>
      </w:r>
      <w:r>
        <w:rPr>
          <w:rFonts w:hint="default" w:ascii="Times New Roman" w:hAnsi="Times New Roman" w:eastAsia="宋体" w:cs="Times New Roman"/>
          <w:smallCaps/>
          <w:color w:val="auto"/>
          <w:sz w:val="24"/>
          <w:szCs w:val="24"/>
          <w:highlight w:val="none"/>
          <w:lang w:val="en-US" w:eastAsia="zh-CN"/>
        </w:rPr>
        <w:t>9修订稿</w:t>
      </w:r>
      <w:r>
        <w:rPr>
          <w:rFonts w:hint="default" w:ascii="Times New Roman" w:hAnsi="Times New Roman" w:eastAsia="宋体" w:cs="Times New Roman"/>
          <w:smallCaps/>
          <w:color w:val="auto"/>
          <w:sz w:val="24"/>
          <w:szCs w:val="24"/>
          <w:highlight w:val="none"/>
        </w:rPr>
        <w:t>）；</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mallCaps/>
          <w:color w:val="auto"/>
          <w:sz w:val="24"/>
          <w:szCs w:val="24"/>
          <w:highlight w:val="none"/>
        </w:rPr>
      </w:pPr>
      <w:r>
        <w:rPr>
          <w:rFonts w:hint="default" w:ascii="Times New Roman" w:hAnsi="Times New Roman" w:eastAsia="宋体" w:cs="Times New Roman"/>
          <w:smallCaps/>
          <w:color w:val="auto"/>
          <w:sz w:val="24"/>
          <w:szCs w:val="24"/>
          <w:highlight w:val="none"/>
        </w:rPr>
        <w:t>（6）《危险废物鉴别标准通则》（GB 5085.7-20</w:t>
      </w:r>
      <w:r>
        <w:rPr>
          <w:rFonts w:hint="default" w:ascii="Times New Roman" w:hAnsi="Times New Roman" w:eastAsia="宋体" w:cs="Times New Roman"/>
          <w:smallCaps/>
          <w:color w:val="auto"/>
          <w:sz w:val="24"/>
          <w:szCs w:val="24"/>
          <w:highlight w:val="none"/>
          <w:lang w:val="en-US" w:eastAsia="zh-CN"/>
        </w:rPr>
        <w:t>19</w:t>
      </w:r>
      <w:r>
        <w:rPr>
          <w:rFonts w:hint="default" w:ascii="Times New Roman" w:hAnsi="Times New Roman" w:eastAsia="宋体" w:cs="Times New Roman"/>
          <w:smallCaps/>
          <w:color w:val="auto"/>
          <w:sz w:val="24"/>
          <w:szCs w:val="24"/>
          <w:highlight w:val="none"/>
        </w:rPr>
        <w:t>）；</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mallCaps/>
          <w:color w:val="auto"/>
          <w:sz w:val="24"/>
          <w:szCs w:val="24"/>
          <w:highlight w:val="none"/>
        </w:rPr>
      </w:pPr>
      <w:r>
        <w:rPr>
          <w:rFonts w:hint="default" w:ascii="Times New Roman" w:hAnsi="Times New Roman" w:eastAsia="宋体" w:cs="Times New Roman"/>
          <w:smallCaps/>
          <w:color w:val="auto"/>
          <w:sz w:val="24"/>
          <w:szCs w:val="24"/>
          <w:highlight w:val="none"/>
        </w:rPr>
        <w:t>（7）《危险废物鉴别技术规范》（HJ 298-20</w:t>
      </w:r>
      <w:r>
        <w:rPr>
          <w:rFonts w:hint="default" w:ascii="Times New Roman" w:hAnsi="Times New Roman" w:eastAsia="宋体" w:cs="Times New Roman"/>
          <w:smallCaps/>
          <w:color w:val="auto"/>
          <w:sz w:val="24"/>
          <w:szCs w:val="24"/>
          <w:highlight w:val="none"/>
          <w:lang w:val="en-US" w:eastAsia="zh-CN"/>
        </w:rPr>
        <w:t>19</w:t>
      </w:r>
      <w:r>
        <w:rPr>
          <w:rFonts w:hint="default" w:ascii="Times New Roman" w:hAnsi="Times New Roman" w:eastAsia="宋体" w:cs="Times New Roman"/>
          <w:smallCaps/>
          <w:color w:val="auto"/>
          <w:sz w:val="24"/>
          <w:szCs w:val="24"/>
          <w:highlight w:val="none"/>
        </w:rPr>
        <w:t>）</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mallCaps/>
          <w:color w:val="auto"/>
          <w:sz w:val="24"/>
          <w:szCs w:val="24"/>
          <w:highlight w:val="none"/>
        </w:rPr>
      </w:pPr>
      <w:r>
        <w:rPr>
          <w:rFonts w:hint="default" w:ascii="Times New Roman" w:hAnsi="Times New Roman" w:eastAsia="宋体" w:cs="Times New Roman"/>
          <w:smallCaps/>
          <w:color w:val="auto"/>
          <w:sz w:val="24"/>
          <w:szCs w:val="24"/>
          <w:highlight w:val="none"/>
        </w:rPr>
        <w:t>（8）《建设项目环境风险评价技术导则》（HJ 169-20</w:t>
      </w:r>
      <w:r>
        <w:rPr>
          <w:rFonts w:hint="default" w:ascii="Times New Roman" w:hAnsi="Times New Roman" w:eastAsia="宋体" w:cs="Times New Roman"/>
          <w:smallCaps/>
          <w:color w:val="auto"/>
          <w:sz w:val="24"/>
          <w:szCs w:val="24"/>
          <w:highlight w:val="none"/>
          <w:lang w:val="en-US" w:eastAsia="zh-CN"/>
        </w:rPr>
        <w:t>18</w:t>
      </w:r>
      <w:r>
        <w:rPr>
          <w:rFonts w:hint="default" w:ascii="Times New Roman" w:hAnsi="Times New Roman" w:eastAsia="宋体" w:cs="Times New Roman"/>
          <w:smallCaps/>
          <w:color w:val="auto"/>
          <w:sz w:val="24"/>
          <w:szCs w:val="24"/>
          <w:highlight w:val="none"/>
        </w:rPr>
        <w:t>）；</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mallCaps/>
          <w:color w:val="auto"/>
          <w:sz w:val="24"/>
          <w:szCs w:val="24"/>
          <w:highlight w:val="none"/>
        </w:rPr>
      </w:pPr>
      <w:r>
        <w:rPr>
          <w:rFonts w:hint="default" w:ascii="Times New Roman" w:hAnsi="Times New Roman" w:eastAsia="宋体" w:cs="Times New Roman"/>
          <w:smallCaps/>
          <w:color w:val="auto"/>
          <w:sz w:val="24"/>
          <w:szCs w:val="24"/>
          <w:highlight w:val="none"/>
        </w:rPr>
        <w:t>（9）《工业企业设计卫生标准》（GBZ1-2010）；</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mallCaps/>
          <w:color w:val="auto"/>
          <w:sz w:val="24"/>
          <w:szCs w:val="24"/>
          <w:highlight w:val="none"/>
        </w:rPr>
      </w:pPr>
      <w:r>
        <w:rPr>
          <w:rFonts w:hint="default" w:ascii="Times New Roman" w:hAnsi="Times New Roman" w:eastAsia="宋体" w:cs="Times New Roman"/>
          <w:smallCaps/>
          <w:color w:val="auto"/>
          <w:sz w:val="24"/>
          <w:szCs w:val="24"/>
          <w:highlight w:val="none"/>
        </w:rPr>
        <w:t>（10）《突发环境事件应急监测技术规范》（HJ 589-2010）</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mallCaps/>
          <w:color w:val="auto"/>
          <w:sz w:val="24"/>
          <w:szCs w:val="24"/>
          <w:highlight w:val="none"/>
        </w:rPr>
      </w:pPr>
      <w:r>
        <w:rPr>
          <w:rFonts w:hint="default" w:ascii="Times New Roman" w:hAnsi="Times New Roman" w:eastAsia="宋体" w:cs="Times New Roman"/>
          <w:smallCaps/>
          <w:color w:val="auto"/>
          <w:sz w:val="24"/>
          <w:szCs w:val="24"/>
          <w:highlight w:val="none"/>
        </w:rPr>
        <w:t>（11）《企业突发环境事件风险分级方法》（HJ 941-2018）</w:t>
      </w:r>
    </w:p>
    <w:p>
      <w:pPr>
        <w:pStyle w:val="22"/>
        <w:keepNext w:val="0"/>
        <w:keepLines w:val="0"/>
        <w:pageBreakBefore w:val="0"/>
        <w:widowControl w:val="0"/>
        <w:kinsoku/>
        <w:wordWrap/>
        <w:overflowPunct/>
        <w:topLinePunct w:val="0"/>
        <w:autoSpaceDE/>
        <w:autoSpaceDN/>
        <w:bidi w:val="0"/>
        <w:adjustRightInd/>
        <w:snapToGrid/>
        <w:spacing w:before="0" w:beforeLines="0" w:after="0" w:afterLines="0"/>
        <w:textAlignment w:val="auto"/>
        <w:outlineLvl w:val="1"/>
        <w:rPr>
          <w:rFonts w:hint="default" w:ascii="Times New Roman" w:hAnsi="Times New Roman" w:eastAsia="宋体" w:cs="Times New Roman"/>
        </w:rPr>
      </w:pPr>
      <w:bookmarkStart w:id="17" w:name="_Toc18168"/>
      <w:bookmarkStart w:id="18" w:name="_Toc9547"/>
      <w:r>
        <w:rPr>
          <w:rFonts w:hint="eastAsia" w:eastAsia="宋体" w:cs="Times New Roman"/>
          <w:lang w:val="en-US" w:eastAsia="zh-CN"/>
        </w:rPr>
        <w:t>2</w:t>
      </w:r>
      <w:r>
        <w:rPr>
          <w:rFonts w:hint="default" w:ascii="Times New Roman" w:hAnsi="Times New Roman" w:eastAsia="宋体" w:cs="Times New Roman"/>
        </w:rPr>
        <w:t>.2.3其他参考资料</w:t>
      </w:r>
      <w:bookmarkEnd w:id="14"/>
      <w:bookmarkEnd w:id="15"/>
      <w:bookmarkEnd w:id="16"/>
      <w:bookmarkEnd w:id="17"/>
      <w:bookmarkEnd w:id="18"/>
    </w:p>
    <w:p>
      <w:pPr>
        <w:pStyle w:val="24"/>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（1）化学品安全技术说明书；</w:t>
      </w:r>
    </w:p>
    <w:p>
      <w:pPr>
        <w:pStyle w:val="24"/>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（2）《中国石化销售有限公司华中分公司江西输油管理处九江库站突发环境事件应急预案》</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2016年12月</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pPr>
        <w:pStyle w:val="24"/>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（3）《九江金鸡坡油库（二库）隐患改造工程项目环境影响报告</w:t>
      </w:r>
      <w:r>
        <w:rPr>
          <w:rFonts w:hint="default" w:ascii="Times New Roman" w:hAnsi="Times New Roman" w:eastAsia="宋体" w:cs="Times New Roman"/>
          <w:color w:val="auto"/>
          <w:sz w:val="24"/>
          <w:szCs w:val="24"/>
          <w:highlight w:val="none"/>
          <w:lang w:eastAsia="zh-CN"/>
        </w:rPr>
        <w:t>表</w:t>
      </w:r>
      <w:r>
        <w:rPr>
          <w:rFonts w:hint="default" w:ascii="Times New Roman" w:hAnsi="Times New Roman" w:eastAsia="宋体" w:cs="Times New Roman"/>
          <w:color w:val="auto"/>
          <w:sz w:val="24"/>
          <w:szCs w:val="24"/>
          <w:highlight w:val="none"/>
        </w:rPr>
        <w:t>》；</w:t>
      </w:r>
    </w:p>
    <w:p>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t>（4）中国石化销售股份有限公司华中分公司九江油库其他资料。</w:t>
      </w:r>
    </w:p>
    <w:p>
      <w:pPr>
        <w:pStyle w:val="21"/>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outlineLvl w:val="0"/>
        <w:rPr>
          <w:rFonts w:hint="default" w:ascii="Times New Roman" w:hAnsi="Times New Roman" w:eastAsia="宋体" w:cs="Times New Roman"/>
          <w:sz w:val="30"/>
          <w:szCs w:val="30"/>
        </w:rPr>
      </w:pPr>
      <w:bookmarkStart w:id="19" w:name="_Toc469385560"/>
      <w:bookmarkStart w:id="20" w:name="_Toc27367"/>
      <w:r>
        <w:rPr>
          <w:rFonts w:hint="eastAsia" w:ascii="Times New Roman" w:hAnsi="Times New Roman" w:eastAsia="宋体" w:cs="Times New Roman"/>
          <w:sz w:val="30"/>
          <w:szCs w:val="30"/>
          <w:lang w:val="en-US" w:eastAsia="zh-CN"/>
        </w:rPr>
        <w:t>2</w:t>
      </w:r>
      <w:r>
        <w:rPr>
          <w:rFonts w:hint="default" w:ascii="Times New Roman" w:hAnsi="Times New Roman" w:eastAsia="宋体" w:cs="Times New Roman"/>
          <w:sz w:val="30"/>
          <w:szCs w:val="30"/>
        </w:rPr>
        <w:t>.3</w:t>
      </w:r>
      <w:bookmarkEnd w:id="19"/>
      <w:r>
        <w:rPr>
          <w:rFonts w:hint="default" w:ascii="Times New Roman" w:hAnsi="Times New Roman" w:eastAsia="宋体" w:cs="Times New Roman"/>
          <w:sz w:val="30"/>
          <w:szCs w:val="30"/>
        </w:rPr>
        <w:t>企业环境风险评估程序</w:t>
      </w:r>
      <w:bookmarkEnd w:id="20"/>
    </w:p>
    <w:p>
      <w:pPr>
        <w:pStyle w:val="19"/>
        <w:keepNext w:val="0"/>
        <w:keepLines w:val="0"/>
        <w:pageBreakBefore w:val="0"/>
        <w:widowControl w:val="0"/>
        <w:kinsoku/>
        <w:wordWrap/>
        <w:overflowPunct/>
        <w:topLinePunct w:val="0"/>
        <w:autoSpaceDE/>
        <w:autoSpaceDN/>
        <w:bidi w:val="0"/>
        <w:spacing w:line="360" w:lineRule="auto"/>
        <w:textAlignment w:val="auto"/>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企业环境风险评估，按照资料准备与环境风险识别、可能发生环境事件及其后果分析、现有环境风险防控和环境应急管理差距分析、制定完善环境风险防控和应急措施的实施计划、划定突发环境事件风险等级五个步骤实施</w:t>
      </w:r>
      <w:r>
        <w:rPr>
          <w:rFonts w:hint="eastAsia" w:cs="Times New Roman"/>
          <w:color w:val="auto"/>
          <w:lang w:eastAsia="zh-CN"/>
        </w:rPr>
        <w:t>。</w:t>
      </w:r>
    </w:p>
    <w:p>
      <w:pPr>
        <w:pStyle w:val="19"/>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0"/>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sz w:val="32"/>
          <w:szCs w:val="32"/>
          <w:lang w:eastAsia="zh-CN"/>
        </w:rPr>
      </w:pPr>
      <w:bookmarkStart w:id="21" w:name="_Toc22027"/>
      <w:r>
        <w:rPr>
          <w:rFonts w:hint="eastAsia" w:eastAsia="宋体" w:cs="Times New Roman"/>
          <w:b/>
          <w:bCs/>
          <w:sz w:val="32"/>
          <w:szCs w:val="32"/>
          <w:lang w:val="en-US" w:eastAsia="zh-CN"/>
        </w:rPr>
        <w:t>3资料准备与环境风险识别</w:t>
      </w:r>
      <w:bookmarkEnd w:id="21"/>
    </w:p>
    <w:p>
      <w:pPr>
        <w:pStyle w:val="21"/>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outlineLvl w:val="0"/>
        <w:rPr>
          <w:rFonts w:hint="default" w:ascii="Times New Roman" w:hAnsi="Times New Roman" w:eastAsia="宋体" w:cs="Times New Roman"/>
          <w:sz w:val="30"/>
          <w:szCs w:val="30"/>
        </w:rPr>
      </w:pPr>
      <w:bookmarkStart w:id="22" w:name="_Toc27300"/>
      <w:r>
        <w:rPr>
          <w:rFonts w:hint="eastAsia" w:eastAsia="宋体" w:cs="Times New Roman"/>
          <w:sz w:val="30"/>
          <w:szCs w:val="30"/>
          <w:lang w:val="en-US" w:eastAsia="zh-CN"/>
        </w:rPr>
        <w:t>3</w:t>
      </w:r>
      <w:r>
        <w:rPr>
          <w:rFonts w:hint="default" w:ascii="Times New Roman" w:hAnsi="Times New Roman" w:eastAsia="宋体" w:cs="Times New Roman"/>
          <w:sz w:val="30"/>
          <w:szCs w:val="30"/>
        </w:rPr>
        <w:t>.1企业信息</w:t>
      </w:r>
      <w:bookmarkEnd w:id="22"/>
    </w:p>
    <w:p>
      <w:pPr>
        <w:pStyle w:val="22"/>
        <w:keepNext w:val="0"/>
        <w:keepLines w:val="0"/>
        <w:pageBreakBefore w:val="0"/>
        <w:widowControl w:val="0"/>
        <w:kinsoku/>
        <w:wordWrap/>
        <w:overflowPunct/>
        <w:topLinePunct w:val="0"/>
        <w:autoSpaceDE/>
        <w:autoSpaceDN/>
        <w:bidi w:val="0"/>
        <w:adjustRightInd/>
        <w:snapToGrid/>
        <w:spacing w:before="0" w:beforeLines="0" w:after="0" w:afterLines="0"/>
        <w:textAlignment w:val="auto"/>
        <w:outlineLvl w:val="1"/>
        <w:rPr>
          <w:rFonts w:hint="eastAsia" w:ascii="Times New Roman" w:hAnsi="Times New Roman" w:eastAsia="宋体" w:cs="Times New Roman"/>
          <w:lang w:eastAsia="zh-CN"/>
        </w:rPr>
      </w:pPr>
      <w:bookmarkStart w:id="23" w:name="_Toc19712"/>
      <w:r>
        <w:rPr>
          <w:rFonts w:hint="eastAsia" w:eastAsia="宋体" w:cs="Times New Roman"/>
          <w:lang w:val="en-US" w:eastAsia="zh-CN"/>
        </w:rPr>
        <w:t>3.</w:t>
      </w:r>
      <w:r>
        <w:rPr>
          <w:rFonts w:hint="eastAsia" w:ascii="Times New Roman" w:hAnsi="Times New Roman" w:eastAsia="宋体" w:cs="Times New Roman"/>
          <w:lang w:val="en-US" w:eastAsia="zh-CN"/>
        </w:rPr>
        <w:t>1</w:t>
      </w:r>
      <w:r>
        <w:rPr>
          <w:rFonts w:hint="default" w:ascii="Times New Roman" w:hAnsi="Times New Roman" w:eastAsia="宋体" w:cs="Times New Roman"/>
        </w:rPr>
        <w:t>.1</w:t>
      </w:r>
      <w:r>
        <w:rPr>
          <w:rFonts w:hint="eastAsia" w:ascii="Times New Roman" w:hAnsi="Times New Roman" w:eastAsia="宋体" w:cs="Times New Roman"/>
          <w:lang w:eastAsia="zh-CN"/>
        </w:rPr>
        <w:t>企业基本信息</w:t>
      </w:r>
      <w:bookmarkEnd w:id="23"/>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highlight w:val="none"/>
          <w:lang w:eastAsia="zh-CN"/>
        </w:rPr>
        <w:t>中国石化销售股份有限公司华中分公司九江油库</w:t>
      </w:r>
      <w:r>
        <w:rPr>
          <w:rFonts w:hint="eastAsia" w:ascii="Times New Roman" w:hAnsi="Times New Roman" w:eastAsia="宋体" w:cs="Times New Roman"/>
          <w:highlight w:val="none"/>
          <w:lang w:eastAsia="zh-CN"/>
        </w:rPr>
        <w:t>分为一库和二库，位于</w:t>
      </w:r>
      <w:r>
        <w:rPr>
          <w:rFonts w:hint="default" w:ascii="Times New Roman" w:hAnsi="Times New Roman" w:eastAsia="宋体" w:cs="Times New Roman"/>
          <w:highlight w:val="none"/>
          <w:lang w:eastAsia="zh-CN"/>
        </w:rPr>
        <w:t>九江市东郊</w:t>
      </w:r>
      <w:r>
        <w:rPr>
          <w:rFonts w:hint="eastAsia" w:ascii="Times New Roman" w:hAnsi="Times New Roman" w:eastAsia="宋体" w:cs="Times New Roman"/>
          <w:highlight w:val="none"/>
          <w:lang w:eastAsia="zh-CN"/>
        </w:rPr>
        <w:t>滨江路上，一库和二库相距</w:t>
      </w:r>
      <w:r>
        <w:rPr>
          <w:rFonts w:hint="eastAsia" w:ascii="Times New Roman" w:hAnsi="Times New Roman" w:eastAsia="宋体" w:cs="Times New Roman"/>
          <w:highlight w:val="none"/>
          <w:lang w:val="en-US" w:eastAsia="zh-CN"/>
        </w:rPr>
        <w:t>700米</w:t>
      </w:r>
      <w:r>
        <w:rPr>
          <w:rFonts w:hint="eastAsia" w:ascii="Times New Roman" w:hAnsi="Times New Roman" w:eastAsia="宋体" w:cs="Times New Roman"/>
          <w:highlight w:val="none"/>
          <w:lang w:eastAsia="zh-CN"/>
        </w:rPr>
        <w:t>。一库主要为油趸船，主要负责油品的装卸和运输，通过管道运输至二库，二库，现有</w:t>
      </w:r>
      <w:r>
        <w:rPr>
          <w:rFonts w:hint="default" w:ascii="Times New Roman" w:hAnsi="Times New Roman" w:eastAsia="宋体" w:cs="Times New Roman"/>
        </w:rPr>
        <w:t>16座储油罐，分别为</w:t>
      </w:r>
      <w:r>
        <w:rPr>
          <w:rFonts w:hint="eastAsia" w:cs="Times New Roman"/>
          <w:lang w:val="en-US" w:eastAsia="zh-CN"/>
        </w:rPr>
        <w:t>2</w:t>
      </w:r>
      <w:r>
        <w:rPr>
          <w:rFonts w:hint="default" w:ascii="Times New Roman" w:hAnsi="Times New Roman" w:eastAsia="宋体" w:cs="Times New Roman"/>
        </w:rPr>
        <w:t>座5000 m</w:t>
      </w:r>
      <w:r>
        <w:rPr>
          <w:rFonts w:hint="default" w:ascii="Times New Roman" w:hAnsi="Times New Roman" w:eastAsia="宋体" w:cs="Times New Roman"/>
          <w:vertAlign w:val="superscript"/>
        </w:rPr>
        <w:t>3</w:t>
      </w:r>
      <w:r>
        <w:rPr>
          <w:rFonts w:hint="eastAsia" w:cs="Times New Roman"/>
          <w:vertAlign w:val="baseline"/>
          <w:lang w:eastAsia="zh-CN"/>
        </w:rPr>
        <w:t>、</w:t>
      </w:r>
      <w:r>
        <w:rPr>
          <w:rFonts w:hint="default" w:ascii="Times New Roman" w:hAnsi="Times New Roman" w:eastAsia="宋体" w:cs="Times New Roman"/>
        </w:rPr>
        <w:t>3座30000m</w:t>
      </w:r>
      <w:r>
        <w:rPr>
          <w:rFonts w:hint="default" w:ascii="Times New Roman" w:hAnsi="Times New Roman" w:eastAsia="宋体" w:cs="Times New Roman"/>
          <w:vertAlign w:val="superscript"/>
        </w:rPr>
        <w:t>3</w:t>
      </w:r>
      <w:r>
        <w:rPr>
          <w:rFonts w:hint="default" w:ascii="Times New Roman" w:hAnsi="Times New Roman" w:eastAsia="宋体" w:cs="Times New Roman"/>
        </w:rPr>
        <w:t>柴油罐，4座10000 m</w:t>
      </w:r>
      <w:r>
        <w:rPr>
          <w:rFonts w:hint="default" w:ascii="Times New Roman" w:hAnsi="Times New Roman" w:eastAsia="宋体" w:cs="Times New Roman"/>
          <w:vertAlign w:val="superscript"/>
        </w:rPr>
        <w:t>3</w:t>
      </w:r>
      <w:r>
        <w:rPr>
          <w:rFonts w:hint="default" w:ascii="Times New Roman" w:hAnsi="Times New Roman" w:eastAsia="宋体" w:cs="Times New Roman"/>
        </w:rPr>
        <w:t>、1座20000 m</w:t>
      </w:r>
      <w:r>
        <w:rPr>
          <w:rFonts w:hint="default" w:ascii="Times New Roman" w:hAnsi="Times New Roman" w:eastAsia="宋体" w:cs="Times New Roman"/>
          <w:vertAlign w:val="superscript"/>
        </w:rPr>
        <w:t>3</w:t>
      </w:r>
      <w:r>
        <w:rPr>
          <w:rFonts w:hint="default" w:ascii="Times New Roman" w:hAnsi="Times New Roman" w:eastAsia="宋体" w:cs="Times New Roman"/>
        </w:rPr>
        <w:t>、</w:t>
      </w:r>
      <w:r>
        <w:rPr>
          <w:rFonts w:hint="eastAsia" w:cs="Times New Roman"/>
          <w:lang w:val="en-US" w:eastAsia="zh-CN"/>
        </w:rPr>
        <w:t>6</w:t>
      </w:r>
      <w:r>
        <w:rPr>
          <w:rFonts w:hint="default" w:ascii="Times New Roman" w:hAnsi="Times New Roman" w:eastAsia="宋体" w:cs="Times New Roman"/>
        </w:rPr>
        <w:t>座5000 m</w:t>
      </w:r>
      <w:r>
        <w:rPr>
          <w:rFonts w:hint="default" w:ascii="Times New Roman" w:hAnsi="Times New Roman" w:eastAsia="宋体" w:cs="Times New Roman"/>
          <w:vertAlign w:val="superscript"/>
        </w:rPr>
        <w:t>3</w:t>
      </w:r>
      <w:r>
        <w:rPr>
          <w:rFonts w:hint="default" w:ascii="Times New Roman" w:hAnsi="Times New Roman" w:eastAsia="宋体" w:cs="Times New Roman"/>
        </w:rPr>
        <w:t>汽油罐，有6条输油管线与九江石化总厂轻质油品储油区连接，可实现九江石化总厂向金鸡坡油库的管输作业</w:t>
      </w:r>
      <w:r>
        <w:rPr>
          <w:rFonts w:hint="eastAsia" w:ascii="Times New Roman" w:hAnsi="Times New Roman" w:eastAsia="宋体" w:cs="Times New Roman"/>
          <w:lang w:eastAsia="zh-CN"/>
        </w:rPr>
        <w:t>，并在发油区设置</w:t>
      </w:r>
      <w:r>
        <w:rPr>
          <w:rFonts w:hint="eastAsia" w:ascii="Times New Roman" w:hAnsi="Times New Roman" w:eastAsia="宋体" w:cs="Times New Roman"/>
          <w:lang w:val="en-US" w:eastAsia="zh-CN"/>
        </w:rPr>
        <w:t>14个车位通过汽车发油。</w:t>
      </w:r>
    </w:p>
    <w:p>
      <w:pPr>
        <w:pStyle w:val="25"/>
        <w:keepNext w:val="0"/>
        <w:keepLines w:val="0"/>
        <w:pageBreakBefore w:val="0"/>
        <w:widowControl w:val="0"/>
        <w:kinsoku/>
        <w:wordWrap/>
        <w:overflowPunct/>
        <w:topLinePunct w:val="0"/>
        <w:autoSpaceDE/>
        <w:autoSpaceDN/>
        <w:bidi w:val="0"/>
        <w:adjustRightInd/>
        <w:snapToGrid/>
        <w:spacing w:beforeLines="0"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中国石化销售股份有限公司华中分公司九江油库于2017年申报</w:t>
      </w:r>
      <w:r>
        <w:rPr>
          <w:rFonts w:hint="default" w:ascii="Times New Roman" w:hAnsi="Times New Roman" w:eastAsia="宋体" w:cs="Times New Roman"/>
          <w:color w:val="auto"/>
          <w:sz w:val="24"/>
          <w:szCs w:val="24"/>
        </w:rPr>
        <w:t>隐患改造工程项目</w:t>
      </w:r>
      <w:r>
        <w:rPr>
          <w:rFonts w:hint="default" w:ascii="Times New Roman" w:hAnsi="Times New Roman" w:eastAsia="宋体" w:cs="Times New Roman"/>
          <w:color w:val="auto"/>
          <w:sz w:val="24"/>
          <w:szCs w:val="24"/>
          <w:lang w:eastAsia="zh-CN"/>
        </w:rPr>
        <w:t>，目前正在改造中。</w:t>
      </w:r>
      <w:r>
        <w:rPr>
          <w:rFonts w:hint="default" w:ascii="Times New Roman" w:hAnsi="Times New Roman" w:eastAsia="宋体" w:cs="Times New Roman"/>
          <w:color w:val="auto"/>
          <w:sz w:val="24"/>
          <w:szCs w:val="24"/>
        </w:rPr>
        <w:t>隐患改造工程</w:t>
      </w:r>
      <w:r>
        <w:rPr>
          <w:rFonts w:hint="default" w:ascii="Times New Roman" w:hAnsi="Times New Roman" w:eastAsia="宋体" w:cs="Times New Roman"/>
          <w:color w:val="auto"/>
          <w:sz w:val="24"/>
          <w:szCs w:val="24"/>
          <w:lang w:eastAsia="zh-CN"/>
        </w:rPr>
        <w:t>主要为：</w:t>
      </w:r>
      <w:r>
        <w:rPr>
          <w:rFonts w:hint="default" w:ascii="Times New Roman" w:hAnsi="Times New Roman" w:eastAsia="宋体" w:cs="Times New Roman"/>
          <w:color w:val="auto"/>
          <w:sz w:val="24"/>
          <w:szCs w:val="24"/>
        </w:rPr>
        <w:t>TK-132罐组与南侧金鸡坡派出所安全间距不足，需将TK-132罐组南侧防火堤向北压缩15m。TK-131罐组防火堤高度不足，拆除原有毛石挡土墙和消防道路，新建防渗钢筋混凝土防火堤、消防道路和硬路肩。TK-132罐组与西侧相邻企业、公共建筑物的安全间距不满足要求，TK-131罐组防火堤计算划分3个区域，保证每个区域内防火堤有效容积可以满足自己区域内一个最大储罐的容量。并对罐区地面防渗改造、消防道路改造和TK-131罐组车辆出入口改造、油库出入口改造和新建消防控制机柜间及泡沫罐罩棚。</w:t>
      </w:r>
      <w:r>
        <w:rPr>
          <w:rFonts w:hint="default" w:ascii="Times New Roman" w:hAnsi="Times New Roman" w:eastAsia="宋体" w:cs="Times New Roman"/>
          <w:color w:val="auto"/>
          <w:sz w:val="24"/>
          <w:szCs w:val="24"/>
          <w:lang w:eastAsia="zh-CN"/>
        </w:rPr>
        <w:t>对供配电、通讯及仪表自控等进行改造，按照</w:t>
      </w:r>
      <w:r>
        <w:rPr>
          <w:rFonts w:hint="default" w:ascii="Times New Roman" w:hAnsi="Times New Roman" w:eastAsia="宋体" w:cs="Times New Roman"/>
          <w:b w:val="0"/>
          <w:bCs w:val="0"/>
          <w:color w:val="auto"/>
          <w:sz w:val="24"/>
          <w:szCs w:val="24"/>
          <w:lang w:eastAsia="zh-CN"/>
        </w:rPr>
        <w:t>地面防渗要求完善建设危废暂存库，新建应急设施暂存间，新建事故应急池，完善项目二库厂区内雨污分流设施等。</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本公司基本情况见表3.1-1，历年环保手续情况见表3.1-2。</w:t>
      </w:r>
    </w:p>
    <w:p>
      <w:pPr>
        <w:pStyle w:val="25"/>
        <w:keepNext w:val="0"/>
        <w:keepLines w:val="0"/>
        <w:pageBreakBefore w:val="0"/>
        <w:widowControl w:val="0"/>
        <w:kinsoku/>
        <w:wordWrap/>
        <w:overflowPunct/>
        <w:topLinePunct w:val="0"/>
        <w:autoSpaceDE/>
        <w:autoSpaceDN/>
        <w:bidi w:val="0"/>
        <w:adjustRightInd/>
        <w:snapToGrid/>
        <w:spacing w:beforeLines="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w:t>
      </w:r>
      <w:r>
        <w:rPr>
          <w:rFonts w:hint="eastAsia" w:eastAsia="宋体" w:cs="Times New Roman"/>
          <w:b/>
          <w:bCs/>
          <w:sz w:val="24"/>
          <w:szCs w:val="24"/>
          <w:lang w:val="en-US" w:eastAsia="zh-CN"/>
        </w:rPr>
        <w:t>3</w:t>
      </w:r>
      <w:r>
        <w:rPr>
          <w:rFonts w:hint="default" w:ascii="Times New Roman" w:hAnsi="Times New Roman" w:eastAsia="宋体" w:cs="Times New Roman"/>
          <w:b/>
          <w:bCs/>
          <w:sz w:val="24"/>
          <w:szCs w:val="24"/>
        </w:rPr>
        <w:t>.1-1</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lang w:eastAsia="zh-CN"/>
        </w:rPr>
        <w:t>中国石化销售股份有限公司华中分公司九江油库</w:t>
      </w:r>
      <w:r>
        <w:rPr>
          <w:rFonts w:hint="default" w:ascii="Times New Roman" w:hAnsi="Times New Roman" w:eastAsia="宋体" w:cs="Times New Roman"/>
          <w:b/>
          <w:bCs/>
          <w:sz w:val="24"/>
          <w:szCs w:val="24"/>
        </w:rPr>
        <w:t>基本情况一览表</w:t>
      </w:r>
    </w:p>
    <w:tbl>
      <w:tblPr>
        <w:tblStyle w:val="15"/>
        <w:tblW w:w="8250" w:type="dxa"/>
        <w:tblInd w:w="13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820"/>
        <w:gridCol w:w="56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26" w:type="dxa"/>
            <w:tcBorders>
              <w:bottom w:val="single" w:color="auto" w:sz="6" w:space="0"/>
              <w:right w:val="single" w:color="auto" w:sz="6"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820" w:type="dxa"/>
            <w:tcBorders>
              <w:left w:val="single" w:color="auto" w:sz="6" w:space="0"/>
              <w:bottom w:val="single" w:color="auto" w:sz="6" w:space="0"/>
              <w:right w:val="single" w:color="auto" w:sz="6"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5604" w:type="dxa"/>
            <w:tcBorders>
              <w:left w:val="single" w:color="auto" w:sz="6" w:space="0"/>
              <w:bottom w:val="single" w:color="auto" w:sz="6"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基本情况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26" w:type="dxa"/>
            <w:tcBorders>
              <w:top w:val="single" w:color="auto" w:sz="6" w:space="0"/>
              <w:bottom w:val="single" w:color="auto" w:sz="6" w:space="0"/>
              <w:right w:val="single" w:color="auto" w:sz="6"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820" w:type="dxa"/>
            <w:tcBorders>
              <w:top w:val="single" w:color="auto" w:sz="6" w:space="0"/>
              <w:left w:val="single" w:color="auto" w:sz="6" w:space="0"/>
              <w:bottom w:val="single" w:color="auto" w:sz="6" w:space="0"/>
              <w:right w:val="single" w:color="auto" w:sz="6"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单位名称</w:t>
            </w:r>
          </w:p>
        </w:tc>
        <w:tc>
          <w:tcPr>
            <w:tcW w:w="5604" w:type="dxa"/>
            <w:tcBorders>
              <w:top w:val="single" w:color="auto" w:sz="6" w:space="0"/>
              <w:left w:val="single" w:color="auto" w:sz="6" w:space="0"/>
              <w:bottom w:val="single" w:color="auto" w:sz="6" w:space="0"/>
            </w:tcBorders>
            <w:noWrap w:val="0"/>
            <w:vAlign w:val="center"/>
          </w:tcPr>
          <w:p>
            <w:pPr>
              <w:pStyle w:val="26"/>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中国石化销售股份有限公司华中分公司九江油库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26" w:type="dxa"/>
            <w:tcBorders>
              <w:top w:val="single" w:color="auto" w:sz="6" w:space="0"/>
              <w:bottom w:val="single" w:color="auto" w:sz="6" w:space="0"/>
              <w:right w:val="single" w:color="auto" w:sz="6"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820" w:type="dxa"/>
            <w:tcBorders>
              <w:top w:val="single" w:color="auto" w:sz="6" w:space="0"/>
              <w:left w:val="single" w:color="auto" w:sz="6" w:space="0"/>
              <w:bottom w:val="single" w:color="auto" w:sz="6" w:space="0"/>
              <w:right w:val="single" w:color="auto" w:sz="6"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企业性质</w:t>
            </w:r>
          </w:p>
        </w:tc>
        <w:tc>
          <w:tcPr>
            <w:tcW w:w="5604" w:type="dxa"/>
            <w:tcBorders>
              <w:top w:val="single" w:color="auto" w:sz="6" w:space="0"/>
              <w:left w:val="single" w:color="auto" w:sz="6" w:space="0"/>
              <w:bottom w:val="single" w:color="auto" w:sz="6"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国有企业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26" w:type="dxa"/>
            <w:tcBorders>
              <w:top w:val="single" w:color="auto" w:sz="6" w:space="0"/>
              <w:bottom w:val="single" w:color="auto" w:sz="6" w:space="0"/>
              <w:right w:val="single" w:color="auto" w:sz="6"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1820" w:type="dxa"/>
            <w:tcBorders>
              <w:top w:val="single" w:color="auto" w:sz="6" w:space="0"/>
              <w:left w:val="single" w:color="auto" w:sz="6" w:space="0"/>
              <w:bottom w:val="single" w:color="auto" w:sz="6" w:space="0"/>
              <w:right w:val="single" w:color="auto" w:sz="6"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组织机构代码</w:t>
            </w:r>
          </w:p>
        </w:tc>
        <w:tc>
          <w:tcPr>
            <w:tcW w:w="5604" w:type="dxa"/>
            <w:tcBorders>
              <w:top w:val="single" w:color="auto" w:sz="6" w:space="0"/>
              <w:left w:val="single" w:color="auto" w:sz="6" w:space="0"/>
              <w:bottom w:val="single" w:color="auto" w:sz="6"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91</w:t>
            </w:r>
            <w:r>
              <w:rPr>
                <w:rFonts w:hint="eastAsia" w:cs="Times New Roman"/>
                <w:sz w:val="21"/>
                <w:szCs w:val="21"/>
                <w:lang w:eastAsia="zh-CN"/>
              </w:rPr>
              <w:t>54000</w:t>
            </w:r>
            <w:r>
              <w:rPr>
                <w:rFonts w:hint="default" w:ascii="Times New Roman" w:hAnsi="Times New Roman" w:eastAsia="宋体" w:cs="Times New Roman"/>
                <w:sz w:val="21"/>
                <w:szCs w:val="21"/>
              </w:rPr>
              <w:t>0744618954W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26" w:type="dxa"/>
            <w:tcBorders>
              <w:top w:val="single" w:color="auto" w:sz="6" w:space="0"/>
              <w:bottom w:val="single" w:color="auto" w:sz="6" w:space="0"/>
              <w:right w:val="single" w:color="auto" w:sz="6"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1820" w:type="dxa"/>
            <w:tcBorders>
              <w:top w:val="single" w:color="auto" w:sz="6" w:space="0"/>
              <w:left w:val="single" w:color="auto" w:sz="6" w:space="0"/>
              <w:bottom w:val="single" w:color="auto" w:sz="6" w:space="0"/>
              <w:right w:val="single" w:color="auto" w:sz="6"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法人代表</w:t>
            </w:r>
          </w:p>
        </w:tc>
        <w:tc>
          <w:tcPr>
            <w:tcW w:w="5604" w:type="dxa"/>
            <w:tcBorders>
              <w:top w:val="single" w:color="auto" w:sz="6" w:space="0"/>
              <w:left w:val="single" w:color="auto" w:sz="6" w:space="0"/>
              <w:bottom w:val="single" w:color="auto" w:sz="6"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张洪奎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26" w:type="dxa"/>
            <w:tcBorders>
              <w:top w:val="single" w:color="auto" w:sz="6" w:space="0"/>
              <w:bottom w:val="single" w:color="auto" w:sz="6" w:space="0"/>
              <w:right w:val="single" w:color="auto" w:sz="6"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1820" w:type="dxa"/>
            <w:tcBorders>
              <w:top w:val="single" w:color="auto" w:sz="6" w:space="0"/>
              <w:left w:val="single" w:color="auto" w:sz="6" w:space="0"/>
              <w:bottom w:val="single" w:color="auto" w:sz="6" w:space="0"/>
              <w:right w:val="single" w:color="auto" w:sz="6"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单位地址</w:t>
            </w:r>
          </w:p>
        </w:tc>
        <w:tc>
          <w:tcPr>
            <w:tcW w:w="5604" w:type="dxa"/>
            <w:tcBorders>
              <w:top w:val="single" w:color="auto" w:sz="6" w:space="0"/>
              <w:left w:val="single" w:color="auto" w:sz="6" w:space="0"/>
              <w:bottom w:val="single" w:color="auto" w:sz="6" w:space="0"/>
            </w:tcBorders>
            <w:noWrap w:val="0"/>
            <w:vAlign w:val="center"/>
          </w:tcPr>
          <w:p>
            <w:pPr>
              <w:pStyle w:val="26"/>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二库：</w:t>
            </w:r>
            <w:r>
              <w:rPr>
                <w:rFonts w:hint="default" w:ascii="Times New Roman" w:hAnsi="Times New Roman" w:eastAsia="宋体" w:cs="Times New Roman"/>
                <w:sz w:val="21"/>
                <w:szCs w:val="21"/>
              </w:rPr>
              <w:t>江西九江市滨江东路103号</w:t>
            </w:r>
            <w:r>
              <w:rPr>
                <w:rFonts w:hint="default" w:ascii="Times New Roman" w:hAnsi="Times New Roman" w:eastAsia="宋体" w:cs="Times New Roman"/>
                <w:sz w:val="21"/>
                <w:szCs w:val="21"/>
                <w:lang w:eastAsia="zh-CN"/>
              </w:rPr>
              <w:t>、一库：滨江东路30号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26" w:type="dxa"/>
            <w:tcBorders>
              <w:top w:val="single" w:color="auto" w:sz="6" w:space="0"/>
              <w:bottom w:val="single" w:color="auto" w:sz="6" w:space="0"/>
              <w:right w:val="single" w:color="auto" w:sz="6"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1820" w:type="dxa"/>
            <w:tcBorders>
              <w:top w:val="single" w:color="auto" w:sz="6" w:space="0"/>
              <w:left w:val="single" w:color="auto" w:sz="6" w:space="0"/>
              <w:bottom w:val="single" w:color="auto" w:sz="6" w:space="0"/>
              <w:right w:val="single" w:color="auto" w:sz="6"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所属行业类别</w:t>
            </w:r>
          </w:p>
        </w:tc>
        <w:tc>
          <w:tcPr>
            <w:tcW w:w="5604" w:type="dxa"/>
            <w:tcBorders>
              <w:top w:val="single" w:color="auto" w:sz="6" w:space="0"/>
              <w:left w:val="single" w:color="auto" w:sz="6" w:space="0"/>
              <w:bottom w:val="single" w:color="auto" w:sz="6"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石油化工类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26" w:type="dxa"/>
            <w:tcBorders>
              <w:top w:val="single" w:color="auto" w:sz="6" w:space="0"/>
              <w:bottom w:val="single" w:color="auto" w:sz="6" w:space="0"/>
              <w:right w:val="single" w:color="auto" w:sz="6"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1820" w:type="dxa"/>
            <w:tcBorders>
              <w:top w:val="single" w:color="auto" w:sz="6" w:space="0"/>
              <w:left w:val="single" w:color="auto" w:sz="6" w:space="0"/>
              <w:bottom w:val="single" w:color="auto" w:sz="6" w:space="0"/>
              <w:right w:val="single" w:color="auto" w:sz="6"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项目经纬度坐标</w:t>
            </w:r>
          </w:p>
        </w:tc>
        <w:tc>
          <w:tcPr>
            <w:tcW w:w="5604" w:type="dxa"/>
            <w:tcBorders>
              <w:top w:val="single" w:color="auto" w:sz="6" w:space="0"/>
              <w:left w:val="single" w:color="auto" w:sz="6" w:space="0"/>
              <w:bottom w:val="single" w:color="auto" w:sz="6" w:space="0"/>
            </w:tcBorders>
            <w:noWrap w:val="0"/>
            <w:vAlign w:val="center"/>
          </w:tcPr>
          <w:p>
            <w:pPr>
              <w:pStyle w:val="26"/>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二库：</w:t>
            </w:r>
            <w:r>
              <w:rPr>
                <w:rFonts w:hint="default" w:ascii="Times New Roman" w:hAnsi="Times New Roman" w:eastAsia="宋体" w:cs="Times New Roman"/>
                <w:sz w:val="21"/>
                <w:szCs w:val="21"/>
              </w:rPr>
              <w:t>东经11</w:t>
            </w:r>
            <w:r>
              <w:rPr>
                <w:rFonts w:hint="default"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rPr>
              <w:t>°02'</w:t>
            </w:r>
            <w:r>
              <w:rPr>
                <w:rFonts w:hint="default" w:ascii="Times New Roman" w:hAnsi="Times New Roman" w:eastAsia="宋体" w:cs="Times New Roman"/>
                <w:sz w:val="21"/>
                <w:szCs w:val="21"/>
                <w:lang w:val="en-US" w:eastAsia="zh-CN"/>
              </w:rPr>
              <w:t>51.460</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北纬29°44'</w:t>
            </w:r>
            <w:r>
              <w:rPr>
                <w:rFonts w:hint="default" w:ascii="Times New Roman" w:hAnsi="Times New Roman" w:eastAsia="宋体" w:cs="Times New Roman"/>
                <w:sz w:val="21"/>
                <w:szCs w:val="21"/>
                <w:lang w:val="en-US" w:eastAsia="zh-CN"/>
              </w:rPr>
              <w:t>51.918</w:t>
            </w:r>
            <w:r>
              <w:rPr>
                <w:rFonts w:hint="default" w:ascii="Times New Roman" w:hAnsi="Times New Roman" w:eastAsia="宋体" w:cs="Times New Roman"/>
                <w:sz w:val="21"/>
                <w:szCs w:val="21"/>
              </w:rPr>
              <w:t>"</w:t>
            </w:r>
          </w:p>
          <w:p>
            <w:pPr>
              <w:pStyle w:val="26"/>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一库：</w:t>
            </w:r>
            <w:r>
              <w:rPr>
                <w:rFonts w:hint="default" w:ascii="Times New Roman" w:hAnsi="Times New Roman" w:eastAsia="宋体" w:cs="Times New Roman"/>
                <w:sz w:val="21"/>
                <w:szCs w:val="21"/>
              </w:rPr>
              <w:t>东经11</w:t>
            </w:r>
            <w:r>
              <w:rPr>
                <w:rFonts w:hint="default"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rPr>
              <w:t>°02'</w:t>
            </w:r>
            <w:r>
              <w:rPr>
                <w:rFonts w:hint="default" w:ascii="Times New Roman" w:hAnsi="Times New Roman" w:eastAsia="宋体" w:cs="Times New Roman"/>
                <w:sz w:val="21"/>
                <w:szCs w:val="21"/>
                <w:lang w:val="en-US" w:eastAsia="zh-CN"/>
              </w:rPr>
              <w:t>7.342</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北纬29°4</w:t>
            </w:r>
            <w:r>
              <w:rPr>
                <w:rFonts w:hint="default"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6.2764</w:t>
            </w:r>
            <w:r>
              <w:rPr>
                <w:rFonts w:hint="default" w:ascii="Times New Roman" w:hAnsi="Times New Roman" w:eastAsia="宋体"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26" w:type="dxa"/>
            <w:tcBorders>
              <w:top w:val="single" w:color="auto" w:sz="6" w:space="0"/>
              <w:bottom w:val="single" w:color="auto" w:sz="6" w:space="0"/>
              <w:right w:val="single" w:color="auto" w:sz="6"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1820" w:type="dxa"/>
            <w:tcBorders>
              <w:top w:val="single" w:color="auto" w:sz="6" w:space="0"/>
              <w:left w:val="single" w:color="auto" w:sz="6" w:space="0"/>
              <w:bottom w:val="single" w:color="auto" w:sz="6" w:space="0"/>
              <w:right w:val="single" w:color="auto" w:sz="6"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建厂年月</w:t>
            </w:r>
          </w:p>
        </w:tc>
        <w:tc>
          <w:tcPr>
            <w:tcW w:w="5604" w:type="dxa"/>
            <w:tcBorders>
              <w:top w:val="single" w:color="auto" w:sz="6" w:space="0"/>
              <w:left w:val="single" w:color="auto" w:sz="6" w:space="0"/>
              <w:bottom w:val="single" w:color="auto" w:sz="6" w:space="0"/>
            </w:tcBorders>
            <w:noWrap w:val="0"/>
            <w:vAlign w:val="center"/>
          </w:tcPr>
          <w:p>
            <w:pPr>
              <w:pStyle w:val="26"/>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一库1906年，二库1966年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26" w:type="dxa"/>
            <w:tcBorders>
              <w:top w:val="single" w:color="auto" w:sz="6" w:space="0"/>
              <w:bottom w:val="single" w:color="auto" w:sz="6" w:space="0"/>
              <w:right w:val="single" w:color="auto" w:sz="6"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1820" w:type="dxa"/>
            <w:tcBorders>
              <w:top w:val="single" w:color="auto" w:sz="6" w:space="0"/>
              <w:left w:val="single" w:color="auto" w:sz="6" w:space="0"/>
              <w:bottom w:val="single" w:color="auto" w:sz="6" w:space="0"/>
              <w:right w:val="single" w:color="auto" w:sz="6"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主要联系人</w:t>
            </w:r>
          </w:p>
        </w:tc>
        <w:tc>
          <w:tcPr>
            <w:tcW w:w="5604" w:type="dxa"/>
            <w:tcBorders>
              <w:top w:val="single" w:color="auto" w:sz="6" w:space="0"/>
              <w:left w:val="single" w:color="auto" w:sz="6" w:space="0"/>
              <w:bottom w:val="single" w:color="auto" w:sz="6"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张万强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26" w:type="dxa"/>
            <w:tcBorders>
              <w:top w:val="single" w:color="auto" w:sz="6" w:space="0"/>
              <w:bottom w:val="single" w:color="auto" w:sz="6" w:space="0"/>
              <w:right w:val="single" w:color="auto" w:sz="6"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1820" w:type="dxa"/>
            <w:tcBorders>
              <w:top w:val="single" w:color="auto" w:sz="6" w:space="0"/>
              <w:left w:val="single" w:color="auto" w:sz="6" w:space="0"/>
              <w:bottom w:val="single" w:color="auto" w:sz="6" w:space="0"/>
              <w:right w:val="single" w:color="auto" w:sz="6"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联系方式</w:t>
            </w:r>
          </w:p>
        </w:tc>
        <w:tc>
          <w:tcPr>
            <w:tcW w:w="5604" w:type="dxa"/>
            <w:tcBorders>
              <w:top w:val="single" w:color="auto" w:sz="6" w:space="0"/>
              <w:left w:val="single" w:color="auto" w:sz="6" w:space="0"/>
              <w:bottom w:val="single" w:color="auto" w:sz="6"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13707920656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26" w:type="dxa"/>
            <w:tcBorders>
              <w:top w:val="single" w:color="auto" w:sz="6" w:space="0"/>
              <w:bottom w:val="single" w:color="auto" w:sz="6" w:space="0"/>
              <w:right w:val="single" w:color="auto" w:sz="6"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w:t>
            </w:r>
          </w:p>
        </w:tc>
        <w:tc>
          <w:tcPr>
            <w:tcW w:w="1820" w:type="dxa"/>
            <w:tcBorders>
              <w:top w:val="single" w:color="auto" w:sz="6" w:space="0"/>
              <w:left w:val="single" w:color="auto" w:sz="6" w:space="0"/>
              <w:bottom w:val="single" w:color="auto" w:sz="6" w:space="0"/>
              <w:right w:val="single" w:color="auto" w:sz="6" w:space="0"/>
            </w:tcBorders>
            <w:noWrap w:val="0"/>
            <w:vAlign w:val="center"/>
          </w:tcPr>
          <w:p>
            <w:pPr>
              <w:pStyle w:val="26"/>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厂区规模</w:t>
            </w:r>
          </w:p>
        </w:tc>
        <w:tc>
          <w:tcPr>
            <w:tcW w:w="5604" w:type="dxa"/>
            <w:tcBorders>
              <w:top w:val="single" w:color="auto" w:sz="6" w:space="0"/>
              <w:left w:val="single" w:color="auto" w:sz="6" w:space="0"/>
              <w:bottom w:val="single" w:color="auto" w:sz="6" w:space="0"/>
            </w:tcBorders>
            <w:noWrap w:val="0"/>
            <w:vAlign w:val="center"/>
          </w:tcPr>
          <w:p>
            <w:pPr>
              <w:pStyle w:val="26"/>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一库现有</w:t>
            </w:r>
            <w:r>
              <w:rPr>
                <w:rFonts w:hint="default" w:ascii="Times New Roman" w:hAnsi="Times New Roman" w:eastAsia="宋体" w:cs="Times New Roman"/>
                <w:sz w:val="21"/>
                <w:szCs w:val="21"/>
                <w:highlight w:val="none"/>
                <w:lang w:eastAsia="zh-CN"/>
              </w:rPr>
              <w:t>趸船及运输管网</w:t>
            </w:r>
            <w:r>
              <w:rPr>
                <w:rFonts w:hint="eastAsia" w:cs="Times New Roman"/>
                <w:sz w:val="21"/>
                <w:szCs w:val="21"/>
                <w:highlight w:val="none"/>
                <w:lang w:eastAsia="zh-CN"/>
              </w:rPr>
              <w:t>，码头采用浮码头结构形式，现有1个3000吨级游船泊位兼顾5000吨级游船泊位</w:t>
            </w:r>
            <w:r>
              <w:rPr>
                <w:rFonts w:hint="default" w:ascii="Times New Roman" w:hAnsi="Times New Roman" w:eastAsia="宋体" w:cs="Times New Roman"/>
                <w:sz w:val="21"/>
                <w:szCs w:val="21"/>
                <w:highlight w:val="none"/>
              </w:rPr>
              <w:t>；二库现有16座油罐及配套泵房、发油台等设施，其柴油年储存量最大为</w:t>
            </w:r>
            <w:r>
              <w:rPr>
                <w:rFonts w:hint="eastAsia" w:cs="Times New Roman"/>
                <w:sz w:val="21"/>
                <w:szCs w:val="21"/>
                <w:highlight w:val="none"/>
                <w:lang w:eastAsia="zh-CN"/>
              </w:rPr>
              <w:t>68800</w:t>
            </w:r>
            <w:r>
              <w:rPr>
                <w:rFonts w:hint="default" w:ascii="Times New Roman" w:hAnsi="Times New Roman" w:eastAsia="宋体" w:cs="Times New Roman"/>
                <w:sz w:val="21"/>
                <w:szCs w:val="21"/>
                <w:highlight w:val="none"/>
              </w:rPr>
              <w:t>t/a、汽油年储存量最大为</w:t>
            </w:r>
            <w:r>
              <w:rPr>
                <w:rFonts w:hint="eastAsia" w:cs="Times New Roman"/>
                <w:sz w:val="21"/>
                <w:szCs w:val="21"/>
                <w:highlight w:val="none"/>
                <w:lang w:eastAsia="zh-CN"/>
              </w:rPr>
              <w:t>54000</w:t>
            </w:r>
            <w:r>
              <w:rPr>
                <w:rFonts w:hint="default" w:ascii="Times New Roman" w:hAnsi="Times New Roman" w:eastAsia="宋体" w:cs="Times New Roman"/>
                <w:sz w:val="21"/>
                <w:szCs w:val="21"/>
                <w:highlight w:val="none"/>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26" w:type="dxa"/>
            <w:tcBorders>
              <w:top w:val="single" w:color="auto" w:sz="6" w:space="0"/>
              <w:bottom w:val="single" w:color="auto" w:sz="6" w:space="0"/>
              <w:right w:val="single" w:color="auto" w:sz="6"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1820" w:type="dxa"/>
            <w:tcBorders>
              <w:top w:val="single" w:color="auto" w:sz="6" w:space="0"/>
              <w:left w:val="single" w:color="auto" w:sz="6" w:space="0"/>
              <w:bottom w:val="single" w:color="auto" w:sz="6" w:space="0"/>
              <w:right w:val="single" w:color="auto" w:sz="6"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厂区面积</w:t>
            </w:r>
          </w:p>
        </w:tc>
        <w:tc>
          <w:tcPr>
            <w:tcW w:w="5604" w:type="dxa"/>
            <w:tcBorders>
              <w:top w:val="single" w:color="auto" w:sz="6" w:space="0"/>
              <w:left w:val="single" w:color="auto" w:sz="6" w:space="0"/>
              <w:bottom w:val="single" w:color="auto" w:sz="6"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287亩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26" w:type="dxa"/>
            <w:tcBorders>
              <w:top w:val="single" w:color="auto" w:sz="6" w:space="0"/>
              <w:bottom w:val="single" w:color="auto" w:sz="12" w:space="0"/>
              <w:right w:val="single" w:color="auto" w:sz="6"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w:t>
            </w:r>
          </w:p>
        </w:tc>
        <w:tc>
          <w:tcPr>
            <w:tcW w:w="1820" w:type="dxa"/>
            <w:tcBorders>
              <w:top w:val="single" w:color="auto" w:sz="6" w:space="0"/>
              <w:left w:val="single" w:color="auto" w:sz="6" w:space="0"/>
              <w:bottom w:val="single" w:color="auto" w:sz="12" w:space="0"/>
              <w:right w:val="single" w:color="auto" w:sz="6"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厂区从业人数</w:t>
            </w:r>
          </w:p>
        </w:tc>
        <w:tc>
          <w:tcPr>
            <w:tcW w:w="5604" w:type="dxa"/>
            <w:tcBorders>
              <w:top w:val="single" w:color="auto" w:sz="6" w:space="0"/>
              <w:left w:val="single" w:color="auto" w:sz="6" w:space="0"/>
              <w:bottom w:val="single" w:color="auto" w:sz="12"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74</w:t>
            </w:r>
            <w:r>
              <w:rPr>
                <w:rFonts w:hint="default" w:ascii="Times New Roman" w:hAnsi="Times New Roman" w:eastAsia="宋体" w:cs="Times New Roman"/>
                <w:sz w:val="21"/>
                <w:szCs w:val="21"/>
              </w:rPr>
              <w:t>人</w:t>
            </w:r>
          </w:p>
        </w:tc>
      </w:tr>
    </w:tbl>
    <w:p>
      <w:pPr>
        <w:pStyle w:val="27"/>
        <w:keepNext w:val="0"/>
        <w:keepLines w:val="0"/>
        <w:pageBreakBefore w:val="0"/>
        <w:widowControl/>
        <w:kinsoku/>
        <w:wordWrap/>
        <w:overflowPunct/>
        <w:topLinePunct w:val="0"/>
        <w:autoSpaceDE/>
        <w:autoSpaceDN/>
        <w:bidi w:val="0"/>
        <w:adjustRightInd/>
        <w:snapToGrid/>
        <w:spacing w:before="0" w:beforeLines="0" w:line="360" w:lineRule="auto"/>
        <w:ind w:firstLine="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Cs w:val="28"/>
        </w:rPr>
        <w:t>表</w:t>
      </w:r>
      <w:r>
        <w:rPr>
          <w:rFonts w:hint="eastAsia" w:cs="Times New Roman"/>
          <w:color w:val="auto"/>
          <w:lang w:val="en-US" w:eastAsia="zh-CN"/>
        </w:rPr>
        <w:t>3</w:t>
      </w:r>
      <w:r>
        <w:rPr>
          <w:rFonts w:hint="default" w:ascii="Times New Roman" w:hAnsi="Times New Roman" w:eastAsia="宋体" w:cs="Times New Roman"/>
          <w:color w:val="auto"/>
        </w:rPr>
        <w:t>.1-</w:t>
      </w:r>
      <w:r>
        <w:rPr>
          <w:rFonts w:hint="default" w:ascii="Times New Roman" w:hAnsi="Times New Roman" w:eastAsia="宋体" w:cs="Times New Roman"/>
          <w:color w:val="auto"/>
          <w:lang w:val="en-US" w:eastAsia="zh-CN"/>
        </w:rPr>
        <w:t xml:space="preserve">2  </w:t>
      </w:r>
      <w:r>
        <w:rPr>
          <w:rFonts w:hint="default" w:ascii="Times New Roman" w:hAnsi="Times New Roman" w:eastAsia="宋体" w:cs="Times New Roman"/>
          <w:color w:val="auto"/>
          <w:szCs w:val="28"/>
        </w:rPr>
        <w:t>企业</w:t>
      </w:r>
      <w:r>
        <w:rPr>
          <w:rFonts w:hint="default" w:ascii="Times New Roman" w:hAnsi="Times New Roman" w:eastAsia="宋体" w:cs="Times New Roman"/>
          <w:color w:val="auto"/>
        </w:rPr>
        <w:t>历年环保手续情况</w:t>
      </w:r>
    </w:p>
    <w:tbl>
      <w:tblPr>
        <w:tblStyle w:val="15"/>
        <w:tblW w:w="8182"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40"/>
        <w:gridCol w:w="4089"/>
        <w:gridCol w:w="1666"/>
        <w:gridCol w:w="168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blHeader/>
          <w:jc w:val="center"/>
        </w:trPr>
        <w:tc>
          <w:tcPr>
            <w:tcW w:w="740"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序号</w:t>
            </w:r>
          </w:p>
        </w:tc>
        <w:tc>
          <w:tcPr>
            <w:tcW w:w="4089"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项目名称</w:t>
            </w:r>
          </w:p>
        </w:tc>
        <w:tc>
          <w:tcPr>
            <w:tcW w:w="1666"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批复文件（号）</w:t>
            </w:r>
          </w:p>
        </w:tc>
        <w:tc>
          <w:tcPr>
            <w:tcW w:w="1687"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竣工验收文件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blHeader/>
          <w:jc w:val="center"/>
        </w:trPr>
        <w:tc>
          <w:tcPr>
            <w:tcW w:w="740"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4089"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九江—南昌—樟树成品油管道工程环境影响报告书</w:t>
            </w:r>
          </w:p>
        </w:tc>
        <w:tc>
          <w:tcPr>
            <w:tcW w:w="1666"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赣环督字【2007】55号</w:t>
            </w:r>
          </w:p>
        </w:tc>
        <w:tc>
          <w:tcPr>
            <w:tcW w:w="1687"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赣环督字【2008】592号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40"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val="en-US" w:eastAsia="zh-CN"/>
              </w:rPr>
              <w:t>2</w:t>
            </w:r>
          </w:p>
        </w:tc>
        <w:tc>
          <w:tcPr>
            <w:tcW w:w="4089"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九江金鸡坡油库（二库）隐患改造工程项目</w:t>
            </w:r>
          </w:p>
        </w:tc>
        <w:tc>
          <w:tcPr>
            <w:tcW w:w="1666"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 xml:space="preserve">浔环审【2017】21号 </w:t>
            </w:r>
          </w:p>
        </w:tc>
        <w:tc>
          <w:tcPr>
            <w:tcW w:w="1687" w:type="dxa"/>
            <w:tcBorders>
              <w:tl2br w:val="nil"/>
              <w:tr2bl w:val="nil"/>
            </w:tcBorders>
            <w:noWrap w:val="0"/>
            <w:vAlign w:val="center"/>
          </w:tcPr>
          <w:p>
            <w:pPr>
              <w:pStyle w:val="28"/>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未竣工</w:t>
            </w:r>
          </w:p>
        </w:tc>
      </w:tr>
    </w:tbl>
    <w:p>
      <w:pPr>
        <w:pStyle w:val="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rPr>
      </w:pPr>
    </w:p>
    <w:p>
      <w:pPr>
        <w:pStyle w:val="22"/>
        <w:keepNext w:val="0"/>
        <w:keepLines w:val="0"/>
        <w:pageBreakBefore w:val="0"/>
        <w:widowControl w:val="0"/>
        <w:kinsoku/>
        <w:wordWrap/>
        <w:overflowPunct/>
        <w:topLinePunct w:val="0"/>
        <w:autoSpaceDE/>
        <w:autoSpaceDN/>
        <w:bidi w:val="0"/>
        <w:adjustRightInd/>
        <w:snapToGrid/>
        <w:spacing w:before="0" w:beforeLines="0" w:after="0" w:afterLines="0"/>
        <w:textAlignment w:val="auto"/>
        <w:outlineLvl w:val="1"/>
        <w:rPr>
          <w:rFonts w:hint="eastAsia" w:ascii="Times New Roman" w:hAnsi="Times New Roman" w:eastAsia="宋体" w:cs="Times New Roman"/>
          <w:lang w:val="en-US" w:eastAsia="zh-CN"/>
        </w:rPr>
      </w:pPr>
      <w:bookmarkStart w:id="24" w:name="_Toc7910"/>
      <w:r>
        <w:rPr>
          <w:rFonts w:hint="eastAsia" w:ascii="Times New Roman" w:hAnsi="Times New Roman" w:eastAsia="宋体" w:cs="Times New Roman"/>
          <w:lang w:val="en-US" w:eastAsia="zh-CN"/>
        </w:rPr>
        <w:t>3.1</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2产品方案</w:t>
      </w:r>
      <w:bookmarkEnd w:id="24"/>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九江油库在二库设置</w:t>
      </w:r>
      <w:r>
        <w:rPr>
          <w:rFonts w:hint="eastAsia" w:ascii="Times New Roman" w:hAnsi="Times New Roman" w:eastAsia="宋体" w:cs="Times New Roman"/>
          <w:lang w:val="en-US" w:eastAsia="zh-CN"/>
        </w:rPr>
        <w:t>16个储油罐，主要储存为柴油和汽油，其柴油年储存量最大为</w:t>
      </w:r>
      <w:r>
        <w:rPr>
          <w:rFonts w:hint="eastAsia" w:cs="Times New Roman"/>
          <w:lang w:val="en-US" w:eastAsia="zh-CN"/>
        </w:rPr>
        <w:t>68800</w:t>
      </w:r>
      <w:r>
        <w:rPr>
          <w:rFonts w:hint="eastAsia" w:ascii="Times New Roman" w:hAnsi="Times New Roman" w:eastAsia="宋体" w:cs="Times New Roman"/>
          <w:lang w:val="en-US" w:eastAsia="zh-CN"/>
        </w:rPr>
        <w:t>t/a、汽油年储存量最大为</w:t>
      </w:r>
      <w:r>
        <w:rPr>
          <w:rFonts w:hint="eastAsia" w:cs="Times New Roman"/>
          <w:lang w:val="en-US" w:eastAsia="zh-CN"/>
        </w:rPr>
        <w:t>54000</w:t>
      </w:r>
      <w:r>
        <w:rPr>
          <w:rFonts w:hint="eastAsia" w:ascii="Times New Roman" w:hAnsi="Times New Roman" w:eastAsia="宋体" w:cs="Times New Roman"/>
          <w:lang w:val="en-US" w:eastAsia="zh-CN"/>
        </w:rPr>
        <w:t>t/a。柴油主要为0#柴油，汽油主要为9</w:t>
      </w:r>
      <w:r>
        <w:rPr>
          <w:rFonts w:hint="eastAsia" w:cs="Times New Roman"/>
          <w:lang w:val="en-US" w:eastAsia="zh-CN"/>
        </w:rPr>
        <w:t>2</w:t>
      </w:r>
      <w:r>
        <w:rPr>
          <w:rFonts w:hint="eastAsia" w:ascii="Times New Roman" w:hAnsi="Times New Roman" w:eastAsia="宋体" w:cs="Times New Roman"/>
          <w:lang w:val="en-US" w:eastAsia="zh-CN"/>
        </w:rPr>
        <w:t>号和9</w:t>
      </w:r>
      <w:r>
        <w:rPr>
          <w:rFonts w:hint="eastAsia" w:cs="Times New Roman"/>
          <w:lang w:val="en-US" w:eastAsia="zh-CN"/>
        </w:rPr>
        <w:t>5</w:t>
      </w:r>
      <w:r>
        <w:rPr>
          <w:rFonts w:hint="eastAsia" w:ascii="Times New Roman" w:hAnsi="Times New Roman" w:eastAsia="宋体" w:cs="Times New Roman"/>
          <w:lang w:val="en-US" w:eastAsia="zh-CN"/>
        </w:rPr>
        <w:t>号。具体详见下表：</w:t>
      </w:r>
    </w:p>
    <w:p>
      <w:pPr>
        <w:pStyle w:val="27"/>
        <w:keepNext w:val="0"/>
        <w:keepLines w:val="0"/>
        <w:pageBreakBefore w:val="0"/>
        <w:widowControl/>
        <w:kinsoku/>
        <w:wordWrap/>
        <w:overflowPunct/>
        <w:topLinePunct w:val="0"/>
        <w:autoSpaceDE/>
        <w:autoSpaceDN/>
        <w:bidi w:val="0"/>
        <w:adjustRightInd/>
        <w:snapToGrid/>
        <w:spacing w:before="0" w:beforeLines="0" w:after="0" w:line="360" w:lineRule="auto"/>
        <w:ind w:firstLine="0"/>
        <w:textAlignment w:val="auto"/>
        <w:rPr>
          <w:rFonts w:hint="eastAsia" w:ascii="Times New Roman" w:hAnsi="Times New Roman" w:eastAsia="宋体" w:cs="Times New Roman"/>
          <w:color w:val="auto"/>
          <w:lang w:eastAsia="zh-CN"/>
        </w:rPr>
      </w:pPr>
      <w:r>
        <w:rPr>
          <w:rFonts w:hint="default" w:ascii="Times New Roman" w:hAnsi="Times New Roman" w:eastAsia="宋体" w:cs="Times New Roman"/>
          <w:color w:val="auto"/>
          <w:szCs w:val="28"/>
        </w:rPr>
        <w:t>表</w:t>
      </w:r>
      <w:r>
        <w:rPr>
          <w:rFonts w:hint="eastAsia" w:cs="Times New Roman"/>
          <w:color w:val="auto"/>
          <w:lang w:val="en-US" w:eastAsia="zh-CN"/>
        </w:rPr>
        <w:t>3</w:t>
      </w:r>
      <w:r>
        <w:rPr>
          <w:rFonts w:hint="default" w:ascii="Times New Roman" w:hAnsi="Times New Roman" w:eastAsia="宋体" w:cs="Times New Roman"/>
          <w:color w:val="auto"/>
        </w:rPr>
        <w:t>.1-</w:t>
      </w: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szCs w:val="28"/>
          <w:lang w:eastAsia="zh-CN"/>
        </w:rPr>
        <w:t>项目油库存储情况一览表</w:t>
      </w:r>
    </w:p>
    <w:tbl>
      <w:tblPr>
        <w:tblStyle w:val="15"/>
        <w:tblW w:w="0" w:type="auto"/>
        <w:tblInd w:w="112"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1322"/>
        <w:gridCol w:w="1773"/>
        <w:gridCol w:w="1854"/>
        <w:gridCol w:w="25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7" w:type="dxa"/>
            <w:tcBorders>
              <w:bottom w:val="single" w:color="auto" w:sz="6" w:space="0"/>
            </w:tcBorders>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322" w:type="dxa"/>
            <w:tcBorders>
              <w:bottom w:val="single" w:color="auto" w:sz="6" w:space="0"/>
            </w:tcBorders>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储罐编号</w:t>
            </w:r>
          </w:p>
        </w:tc>
        <w:tc>
          <w:tcPr>
            <w:tcW w:w="1773" w:type="dxa"/>
            <w:tcBorders>
              <w:bottom w:val="single" w:color="auto" w:sz="6" w:space="0"/>
            </w:tcBorders>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主要储存油品</w:t>
            </w:r>
          </w:p>
        </w:tc>
        <w:tc>
          <w:tcPr>
            <w:tcW w:w="1854" w:type="dxa"/>
            <w:tcBorders>
              <w:bottom w:val="single" w:color="auto" w:sz="6" w:space="0"/>
            </w:tcBorders>
            <w:shd w:val="clear" w:color="auto" w:fill="auto"/>
            <w:noWrap w:val="0"/>
            <w:vAlign w:val="center"/>
          </w:tcPr>
          <w:p>
            <w:pPr>
              <w:pStyle w:val="26"/>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储存量</w:t>
            </w:r>
            <w:r>
              <w:rPr>
                <w:rFonts w:hint="eastAsia" w:cs="Times New Roman"/>
                <w:sz w:val="21"/>
                <w:szCs w:val="21"/>
                <w:lang w:eastAsia="zh-CN"/>
              </w:rPr>
              <w:t>（</w:t>
            </w:r>
            <w:r>
              <w:rPr>
                <w:rFonts w:hint="eastAsia" w:cs="Times New Roman"/>
                <w:sz w:val="21"/>
                <w:szCs w:val="21"/>
                <w:lang w:val="en-US" w:eastAsia="zh-CN"/>
              </w:rPr>
              <w:t>t</w:t>
            </w:r>
            <w:r>
              <w:rPr>
                <w:rFonts w:hint="eastAsia" w:cs="Times New Roman"/>
                <w:sz w:val="21"/>
                <w:szCs w:val="21"/>
                <w:lang w:eastAsia="zh-CN"/>
              </w:rPr>
              <w:t>）</w:t>
            </w:r>
          </w:p>
        </w:tc>
        <w:tc>
          <w:tcPr>
            <w:tcW w:w="2572" w:type="dxa"/>
            <w:tcBorders>
              <w:bottom w:val="single" w:color="auto" w:sz="6" w:space="0"/>
            </w:tcBorders>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储存方式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717" w:type="dxa"/>
            <w:tcBorders>
              <w:top w:val="single" w:color="auto" w:sz="6" w:space="0"/>
              <w:bottom w:val="single" w:color="auto" w:sz="6" w:space="0"/>
            </w:tcBorders>
            <w:shd w:val="clear" w:color="auto" w:fill="auto"/>
            <w:noWrap w:val="0"/>
            <w:vAlign w:val="center"/>
          </w:tcPr>
          <w:p>
            <w:pPr>
              <w:pStyle w:val="26"/>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1</w:t>
            </w:r>
          </w:p>
        </w:tc>
        <w:tc>
          <w:tcPr>
            <w:tcW w:w="1322"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cs="Times New Roman"/>
                <w:sz w:val="21"/>
                <w:szCs w:val="21"/>
              </w:rPr>
              <w:t>G-01-050</w:t>
            </w:r>
          </w:p>
        </w:tc>
        <w:tc>
          <w:tcPr>
            <w:tcW w:w="1773"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cs="Times New Roman"/>
                <w:sz w:val="21"/>
                <w:szCs w:val="21"/>
              </w:rPr>
              <w:t>92#汽油</w:t>
            </w:r>
          </w:p>
        </w:tc>
        <w:tc>
          <w:tcPr>
            <w:tcW w:w="1854" w:type="dxa"/>
            <w:tcBorders>
              <w:top w:val="single" w:color="auto" w:sz="6" w:space="0"/>
              <w:bottom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3000</w:t>
            </w:r>
          </w:p>
        </w:tc>
        <w:tc>
          <w:tcPr>
            <w:tcW w:w="2572" w:type="dxa"/>
            <w:tcBorders>
              <w:top w:val="single" w:color="auto" w:sz="6" w:space="0"/>
              <w:bottom w:val="single" w:color="auto" w:sz="6" w:space="0"/>
            </w:tcBorders>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地上储罐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17" w:type="dxa"/>
            <w:tcBorders>
              <w:top w:val="single" w:color="auto" w:sz="6" w:space="0"/>
              <w:bottom w:val="single" w:color="auto" w:sz="6" w:space="0"/>
            </w:tcBorders>
            <w:shd w:val="clear" w:color="auto" w:fill="auto"/>
            <w:noWrap w:val="0"/>
            <w:vAlign w:val="center"/>
          </w:tcPr>
          <w:p>
            <w:pPr>
              <w:pStyle w:val="26"/>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2</w:t>
            </w:r>
          </w:p>
        </w:tc>
        <w:tc>
          <w:tcPr>
            <w:tcW w:w="1322"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cs="Times New Roman"/>
                <w:sz w:val="21"/>
                <w:szCs w:val="21"/>
              </w:rPr>
              <w:t>G-02-050</w:t>
            </w:r>
          </w:p>
        </w:tc>
        <w:tc>
          <w:tcPr>
            <w:tcW w:w="1773"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cs="Times New Roman"/>
                <w:sz w:val="21"/>
                <w:szCs w:val="21"/>
              </w:rPr>
              <w:t>95#汽油</w:t>
            </w:r>
          </w:p>
        </w:tc>
        <w:tc>
          <w:tcPr>
            <w:tcW w:w="1854" w:type="dxa"/>
            <w:tcBorders>
              <w:top w:val="single" w:color="auto" w:sz="6" w:space="0"/>
              <w:bottom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3000</w:t>
            </w:r>
          </w:p>
        </w:tc>
        <w:tc>
          <w:tcPr>
            <w:tcW w:w="2572" w:type="dxa"/>
            <w:tcBorders>
              <w:top w:val="single" w:color="auto" w:sz="6" w:space="0"/>
              <w:bottom w:val="single" w:color="auto" w:sz="6" w:space="0"/>
            </w:tcBorders>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地上储罐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17" w:type="dxa"/>
            <w:tcBorders>
              <w:top w:val="single" w:color="auto" w:sz="6" w:space="0"/>
              <w:bottom w:val="single" w:color="auto" w:sz="6" w:space="0"/>
            </w:tcBorders>
            <w:shd w:val="clear" w:color="auto" w:fill="auto"/>
            <w:noWrap w:val="0"/>
            <w:vAlign w:val="center"/>
          </w:tcPr>
          <w:p>
            <w:pPr>
              <w:pStyle w:val="26"/>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3</w:t>
            </w:r>
          </w:p>
        </w:tc>
        <w:tc>
          <w:tcPr>
            <w:tcW w:w="1322"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cs="Times New Roman"/>
                <w:sz w:val="21"/>
                <w:szCs w:val="21"/>
              </w:rPr>
              <w:t>G-03-050</w:t>
            </w:r>
          </w:p>
        </w:tc>
        <w:tc>
          <w:tcPr>
            <w:tcW w:w="1773"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cs="Times New Roman"/>
                <w:sz w:val="21"/>
                <w:szCs w:val="21"/>
              </w:rPr>
              <w:t>95#汽油</w:t>
            </w:r>
          </w:p>
        </w:tc>
        <w:tc>
          <w:tcPr>
            <w:tcW w:w="1854" w:type="dxa"/>
            <w:tcBorders>
              <w:top w:val="single" w:color="auto" w:sz="6" w:space="0"/>
              <w:bottom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3000</w:t>
            </w:r>
          </w:p>
        </w:tc>
        <w:tc>
          <w:tcPr>
            <w:tcW w:w="2572" w:type="dxa"/>
            <w:tcBorders>
              <w:top w:val="single" w:color="auto" w:sz="6" w:space="0"/>
              <w:bottom w:val="single" w:color="auto" w:sz="6" w:space="0"/>
            </w:tcBorders>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地上储罐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717" w:type="dxa"/>
            <w:tcBorders>
              <w:top w:val="single" w:color="auto" w:sz="6" w:space="0"/>
              <w:bottom w:val="single" w:color="auto" w:sz="6" w:space="0"/>
            </w:tcBorders>
            <w:shd w:val="clear" w:color="auto" w:fill="auto"/>
            <w:noWrap w:val="0"/>
            <w:vAlign w:val="center"/>
          </w:tcPr>
          <w:p>
            <w:pPr>
              <w:pStyle w:val="26"/>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w:t>
            </w:r>
          </w:p>
        </w:tc>
        <w:tc>
          <w:tcPr>
            <w:tcW w:w="1322"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cs="Times New Roman"/>
                <w:sz w:val="21"/>
                <w:szCs w:val="21"/>
              </w:rPr>
              <w:t>G-04-050</w:t>
            </w:r>
          </w:p>
        </w:tc>
        <w:tc>
          <w:tcPr>
            <w:tcW w:w="1773"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cs="Times New Roman"/>
                <w:sz w:val="21"/>
                <w:szCs w:val="21"/>
              </w:rPr>
              <w:t>92#汽油</w:t>
            </w:r>
          </w:p>
        </w:tc>
        <w:tc>
          <w:tcPr>
            <w:tcW w:w="1854" w:type="dxa"/>
            <w:tcBorders>
              <w:top w:val="single" w:color="auto" w:sz="6" w:space="0"/>
              <w:bottom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3000</w:t>
            </w:r>
          </w:p>
        </w:tc>
        <w:tc>
          <w:tcPr>
            <w:tcW w:w="2572" w:type="dxa"/>
            <w:tcBorders>
              <w:top w:val="single" w:color="auto" w:sz="6" w:space="0"/>
              <w:bottom w:val="single" w:color="auto" w:sz="6" w:space="0"/>
            </w:tcBorders>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地上储罐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17" w:type="dxa"/>
            <w:tcBorders>
              <w:top w:val="single" w:color="auto" w:sz="6" w:space="0"/>
              <w:bottom w:val="single" w:color="auto" w:sz="6" w:space="0"/>
            </w:tcBorders>
            <w:shd w:val="clear" w:color="auto" w:fill="auto"/>
            <w:noWrap w:val="0"/>
            <w:vAlign w:val="center"/>
          </w:tcPr>
          <w:p>
            <w:pPr>
              <w:pStyle w:val="26"/>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5</w:t>
            </w:r>
          </w:p>
        </w:tc>
        <w:tc>
          <w:tcPr>
            <w:tcW w:w="1322"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cs="Times New Roman"/>
                <w:sz w:val="21"/>
                <w:szCs w:val="21"/>
              </w:rPr>
              <w:t>G-05-100</w:t>
            </w:r>
          </w:p>
        </w:tc>
        <w:tc>
          <w:tcPr>
            <w:tcW w:w="1773"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cs="Times New Roman"/>
                <w:sz w:val="21"/>
                <w:szCs w:val="21"/>
              </w:rPr>
              <w:t>92#汽油</w:t>
            </w:r>
          </w:p>
        </w:tc>
        <w:tc>
          <w:tcPr>
            <w:tcW w:w="1854" w:type="dxa"/>
            <w:tcBorders>
              <w:top w:val="single" w:color="auto" w:sz="6" w:space="0"/>
              <w:bottom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6000</w:t>
            </w:r>
          </w:p>
        </w:tc>
        <w:tc>
          <w:tcPr>
            <w:tcW w:w="2572" w:type="dxa"/>
            <w:tcBorders>
              <w:top w:val="single" w:color="auto" w:sz="6" w:space="0"/>
              <w:bottom w:val="single" w:color="auto" w:sz="6" w:space="0"/>
            </w:tcBorders>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地上储罐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17" w:type="dxa"/>
            <w:tcBorders>
              <w:top w:val="single" w:color="auto" w:sz="6" w:space="0"/>
              <w:bottom w:val="single" w:color="auto" w:sz="6" w:space="0"/>
            </w:tcBorders>
            <w:shd w:val="clear" w:color="auto" w:fill="auto"/>
            <w:noWrap w:val="0"/>
            <w:vAlign w:val="center"/>
          </w:tcPr>
          <w:p>
            <w:pPr>
              <w:pStyle w:val="26"/>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6</w:t>
            </w:r>
          </w:p>
        </w:tc>
        <w:tc>
          <w:tcPr>
            <w:tcW w:w="1322"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cs="Times New Roman"/>
                <w:sz w:val="21"/>
                <w:szCs w:val="21"/>
              </w:rPr>
              <w:t>G-06-100</w:t>
            </w:r>
          </w:p>
        </w:tc>
        <w:tc>
          <w:tcPr>
            <w:tcW w:w="1773"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cs="Times New Roman"/>
                <w:sz w:val="21"/>
                <w:szCs w:val="21"/>
              </w:rPr>
              <w:t>92#汽油</w:t>
            </w:r>
          </w:p>
        </w:tc>
        <w:tc>
          <w:tcPr>
            <w:tcW w:w="1854" w:type="dxa"/>
            <w:tcBorders>
              <w:top w:val="single" w:color="auto" w:sz="6" w:space="0"/>
              <w:bottom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6000</w:t>
            </w:r>
          </w:p>
        </w:tc>
        <w:tc>
          <w:tcPr>
            <w:tcW w:w="2572" w:type="dxa"/>
            <w:tcBorders>
              <w:top w:val="single" w:color="auto" w:sz="6" w:space="0"/>
              <w:bottom w:val="single" w:color="auto" w:sz="6" w:space="0"/>
            </w:tcBorders>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地上储罐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717" w:type="dxa"/>
            <w:tcBorders>
              <w:top w:val="single" w:color="auto" w:sz="6" w:space="0"/>
              <w:bottom w:val="single" w:color="auto" w:sz="6" w:space="0"/>
            </w:tcBorders>
            <w:shd w:val="clear" w:color="auto" w:fill="auto"/>
            <w:noWrap w:val="0"/>
            <w:vAlign w:val="center"/>
          </w:tcPr>
          <w:p>
            <w:pPr>
              <w:pStyle w:val="26"/>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7</w:t>
            </w:r>
          </w:p>
        </w:tc>
        <w:tc>
          <w:tcPr>
            <w:tcW w:w="1322"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cs="Times New Roman"/>
                <w:sz w:val="21"/>
                <w:szCs w:val="21"/>
              </w:rPr>
              <w:t>G-07-100</w:t>
            </w:r>
          </w:p>
        </w:tc>
        <w:tc>
          <w:tcPr>
            <w:tcW w:w="1773"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cs="Times New Roman"/>
                <w:sz w:val="21"/>
                <w:szCs w:val="21"/>
              </w:rPr>
              <w:t>92#汽油</w:t>
            </w:r>
          </w:p>
        </w:tc>
        <w:tc>
          <w:tcPr>
            <w:tcW w:w="1854" w:type="dxa"/>
            <w:tcBorders>
              <w:top w:val="single" w:color="auto" w:sz="6" w:space="0"/>
              <w:bottom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6000</w:t>
            </w:r>
          </w:p>
        </w:tc>
        <w:tc>
          <w:tcPr>
            <w:tcW w:w="2572" w:type="dxa"/>
            <w:tcBorders>
              <w:top w:val="single" w:color="auto" w:sz="6" w:space="0"/>
              <w:bottom w:val="single" w:color="auto" w:sz="6" w:space="0"/>
            </w:tcBorders>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地上储罐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717" w:type="dxa"/>
            <w:tcBorders>
              <w:top w:val="single" w:color="auto" w:sz="6" w:space="0"/>
              <w:bottom w:val="single" w:color="auto" w:sz="6" w:space="0"/>
            </w:tcBorders>
            <w:shd w:val="clear" w:color="auto" w:fill="auto"/>
            <w:noWrap w:val="0"/>
            <w:vAlign w:val="center"/>
          </w:tcPr>
          <w:p>
            <w:pPr>
              <w:pStyle w:val="26"/>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8</w:t>
            </w:r>
          </w:p>
        </w:tc>
        <w:tc>
          <w:tcPr>
            <w:tcW w:w="1322"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cs="Times New Roman"/>
                <w:sz w:val="21"/>
                <w:szCs w:val="21"/>
              </w:rPr>
              <w:t>G-08-100</w:t>
            </w:r>
          </w:p>
        </w:tc>
        <w:tc>
          <w:tcPr>
            <w:tcW w:w="1773"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cs="Times New Roman"/>
                <w:sz w:val="21"/>
                <w:szCs w:val="21"/>
              </w:rPr>
              <w:t>95#汽油</w:t>
            </w:r>
          </w:p>
        </w:tc>
        <w:tc>
          <w:tcPr>
            <w:tcW w:w="1854" w:type="dxa"/>
            <w:tcBorders>
              <w:top w:val="single" w:color="auto" w:sz="6" w:space="0"/>
              <w:bottom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6000</w:t>
            </w:r>
          </w:p>
        </w:tc>
        <w:tc>
          <w:tcPr>
            <w:tcW w:w="2572" w:type="dxa"/>
            <w:tcBorders>
              <w:top w:val="single" w:color="auto" w:sz="6" w:space="0"/>
              <w:bottom w:val="single" w:color="auto" w:sz="6" w:space="0"/>
            </w:tcBorders>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地上储罐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17" w:type="dxa"/>
            <w:tcBorders>
              <w:top w:val="single" w:color="auto" w:sz="6" w:space="0"/>
              <w:bottom w:val="single" w:color="auto" w:sz="6" w:space="0"/>
            </w:tcBorders>
            <w:shd w:val="clear" w:color="auto" w:fill="auto"/>
            <w:noWrap w:val="0"/>
            <w:vAlign w:val="center"/>
          </w:tcPr>
          <w:p>
            <w:pPr>
              <w:pStyle w:val="26"/>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9</w:t>
            </w:r>
          </w:p>
        </w:tc>
        <w:tc>
          <w:tcPr>
            <w:tcW w:w="1322"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cs="Times New Roman"/>
                <w:sz w:val="21"/>
                <w:szCs w:val="21"/>
              </w:rPr>
              <w:t>D-01-300</w:t>
            </w:r>
          </w:p>
        </w:tc>
        <w:tc>
          <w:tcPr>
            <w:tcW w:w="1773"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cs="Times New Roman"/>
                <w:sz w:val="21"/>
                <w:szCs w:val="21"/>
              </w:rPr>
              <w:t>0#柴油</w:t>
            </w:r>
          </w:p>
        </w:tc>
        <w:tc>
          <w:tcPr>
            <w:tcW w:w="1854" w:type="dxa"/>
            <w:tcBorders>
              <w:top w:val="single" w:color="auto" w:sz="6" w:space="0"/>
              <w:bottom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20640</w:t>
            </w:r>
          </w:p>
        </w:tc>
        <w:tc>
          <w:tcPr>
            <w:tcW w:w="2572" w:type="dxa"/>
            <w:tcBorders>
              <w:top w:val="single" w:color="auto" w:sz="6" w:space="0"/>
              <w:bottom w:val="single" w:color="auto" w:sz="6" w:space="0"/>
            </w:tcBorders>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地上储罐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717" w:type="dxa"/>
            <w:tcBorders>
              <w:top w:val="single" w:color="auto" w:sz="6" w:space="0"/>
              <w:bottom w:val="single" w:color="auto" w:sz="6" w:space="0"/>
            </w:tcBorders>
            <w:shd w:val="clear" w:color="auto" w:fill="auto"/>
            <w:noWrap w:val="0"/>
            <w:vAlign w:val="center"/>
          </w:tcPr>
          <w:p>
            <w:pPr>
              <w:pStyle w:val="26"/>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10</w:t>
            </w:r>
          </w:p>
        </w:tc>
        <w:tc>
          <w:tcPr>
            <w:tcW w:w="1322"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cs="Times New Roman"/>
                <w:sz w:val="21"/>
                <w:szCs w:val="21"/>
              </w:rPr>
              <w:t>D-02-300</w:t>
            </w:r>
          </w:p>
        </w:tc>
        <w:tc>
          <w:tcPr>
            <w:tcW w:w="1773"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cs="Times New Roman"/>
                <w:sz w:val="21"/>
                <w:szCs w:val="21"/>
              </w:rPr>
              <w:t>0#柴油</w:t>
            </w:r>
          </w:p>
        </w:tc>
        <w:tc>
          <w:tcPr>
            <w:tcW w:w="1854" w:type="dxa"/>
            <w:tcBorders>
              <w:top w:val="single" w:color="auto" w:sz="6" w:space="0"/>
              <w:bottom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20640</w:t>
            </w:r>
          </w:p>
        </w:tc>
        <w:tc>
          <w:tcPr>
            <w:tcW w:w="2572" w:type="dxa"/>
            <w:tcBorders>
              <w:top w:val="single" w:color="auto" w:sz="6" w:space="0"/>
              <w:bottom w:val="single" w:color="auto" w:sz="6" w:space="0"/>
            </w:tcBorders>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地上储罐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717" w:type="dxa"/>
            <w:tcBorders>
              <w:top w:val="single" w:color="auto" w:sz="6" w:space="0"/>
              <w:bottom w:val="single" w:color="auto" w:sz="6" w:space="0"/>
            </w:tcBorders>
            <w:shd w:val="clear" w:color="auto" w:fill="auto"/>
            <w:noWrap w:val="0"/>
            <w:vAlign w:val="center"/>
          </w:tcPr>
          <w:p>
            <w:pPr>
              <w:pStyle w:val="26"/>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11</w:t>
            </w:r>
          </w:p>
        </w:tc>
        <w:tc>
          <w:tcPr>
            <w:tcW w:w="1322"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cs="Times New Roman"/>
                <w:sz w:val="21"/>
                <w:szCs w:val="21"/>
              </w:rPr>
              <w:t>D-03-300</w:t>
            </w:r>
          </w:p>
        </w:tc>
        <w:tc>
          <w:tcPr>
            <w:tcW w:w="1773"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cs="Times New Roman"/>
                <w:sz w:val="21"/>
                <w:szCs w:val="21"/>
              </w:rPr>
              <w:t>0#柴油</w:t>
            </w:r>
          </w:p>
        </w:tc>
        <w:tc>
          <w:tcPr>
            <w:tcW w:w="1854" w:type="dxa"/>
            <w:tcBorders>
              <w:top w:val="single" w:color="auto" w:sz="6" w:space="0"/>
              <w:bottom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20640</w:t>
            </w:r>
          </w:p>
        </w:tc>
        <w:tc>
          <w:tcPr>
            <w:tcW w:w="2572" w:type="dxa"/>
            <w:tcBorders>
              <w:top w:val="single" w:color="auto" w:sz="6" w:space="0"/>
              <w:bottom w:val="single" w:color="auto" w:sz="6" w:space="0"/>
            </w:tcBorders>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地上储罐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717" w:type="dxa"/>
            <w:tcBorders>
              <w:top w:val="single" w:color="auto" w:sz="6" w:space="0"/>
              <w:bottom w:val="single" w:color="auto" w:sz="6" w:space="0"/>
            </w:tcBorders>
            <w:shd w:val="clear" w:color="auto" w:fill="auto"/>
            <w:noWrap w:val="0"/>
            <w:vAlign w:val="center"/>
          </w:tcPr>
          <w:p>
            <w:pPr>
              <w:pStyle w:val="26"/>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12</w:t>
            </w:r>
          </w:p>
        </w:tc>
        <w:tc>
          <w:tcPr>
            <w:tcW w:w="1322"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G</w:t>
            </w:r>
            <w:r>
              <w:rPr>
                <w:rFonts w:hint="default" w:ascii="Times New Roman" w:hAnsi="Times New Roman" w:cs="Times New Roman"/>
                <w:sz w:val="21"/>
                <w:szCs w:val="21"/>
              </w:rPr>
              <w:t>-04-200</w:t>
            </w:r>
          </w:p>
        </w:tc>
        <w:tc>
          <w:tcPr>
            <w:tcW w:w="1773"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cs="Times New Roman"/>
                <w:sz w:val="21"/>
                <w:szCs w:val="21"/>
              </w:rPr>
              <w:t>92#汽油</w:t>
            </w:r>
          </w:p>
        </w:tc>
        <w:tc>
          <w:tcPr>
            <w:tcW w:w="1854" w:type="dxa"/>
            <w:tcBorders>
              <w:top w:val="single" w:color="auto" w:sz="6" w:space="0"/>
              <w:bottom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13760</w:t>
            </w:r>
          </w:p>
        </w:tc>
        <w:tc>
          <w:tcPr>
            <w:tcW w:w="2572" w:type="dxa"/>
            <w:tcBorders>
              <w:top w:val="single" w:color="auto" w:sz="6" w:space="0"/>
              <w:bottom w:val="single" w:color="auto" w:sz="6" w:space="0"/>
            </w:tcBorders>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地上储罐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717" w:type="dxa"/>
            <w:tcBorders>
              <w:top w:val="single" w:color="auto" w:sz="6" w:space="0"/>
              <w:bottom w:val="single" w:color="auto" w:sz="6" w:space="0"/>
            </w:tcBorders>
            <w:shd w:val="clear" w:color="auto" w:fill="auto"/>
            <w:noWrap w:val="0"/>
            <w:vAlign w:val="center"/>
          </w:tcPr>
          <w:p>
            <w:pPr>
              <w:pStyle w:val="26"/>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13</w:t>
            </w:r>
          </w:p>
        </w:tc>
        <w:tc>
          <w:tcPr>
            <w:tcW w:w="1322"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cs="Times New Roman"/>
                <w:sz w:val="21"/>
                <w:szCs w:val="21"/>
              </w:rPr>
              <w:t>D-09-050</w:t>
            </w:r>
          </w:p>
        </w:tc>
        <w:tc>
          <w:tcPr>
            <w:tcW w:w="1773"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cs="Times New Roman"/>
                <w:sz w:val="21"/>
                <w:szCs w:val="21"/>
              </w:rPr>
              <w:t>0#柴油</w:t>
            </w:r>
          </w:p>
        </w:tc>
        <w:tc>
          <w:tcPr>
            <w:tcW w:w="1854" w:type="dxa"/>
            <w:tcBorders>
              <w:top w:val="single" w:color="auto" w:sz="6" w:space="0"/>
              <w:bottom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3440</w:t>
            </w:r>
          </w:p>
        </w:tc>
        <w:tc>
          <w:tcPr>
            <w:tcW w:w="2572" w:type="dxa"/>
            <w:tcBorders>
              <w:top w:val="single" w:color="auto" w:sz="6" w:space="0"/>
              <w:bottom w:val="single" w:color="auto" w:sz="6" w:space="0"/>
            </w:tcBorders>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地上储罐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717" w:type="dxa"/>
            <w:tcBorders>
              <w:top w:val="single" w:color="auto" w:sz="6" w:space="0"/>
              <w:bottom w:val="single" w:color="auto" w:sz="6" w:space="0"/>
            </w:tcBorders>
            <w:shd w:val="clear" w:color="auto" w:fill="auto"/>
            <w:noWrap w:val="0"/>
            <w:vAlign w:val="center"/>
          </w:tcPr>
          <w:p>
            <w:pPr>
              <w:pStyle w:val="26"/>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14</w:t>
            </w:r>
          </w:p>
        </w:tc>
        <w:tc>
          <w:tcPr>
            <w:tcW w:w="1322"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G</w:t>
            </w:r>
            <w:r>
              <w:rPr>
                <w:rFonts w:hint="default" w:ascii="Times New Roman" w:hAnsi="Times New Roman" w:cs="Times New Roman"/>
                <w:sz w:val="21"/>
                <w:szCs w:val="21"/>
              </w:rPr>
              <w:t>-10-050</w:t>
            </w:r>
          </w:p>
        </w:tc>
        <w:tc>
          <w:tcPr>
            <w:tcW w:w="1773"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cs="Times New Roman"/>
                <w:sz w:val="21"/>
                <w:szCs w:val="21"/>
              </w:rPr>
              <w:t>92#汽油</w:t>
            </w:r>
          </w:p>
        </w:tc>
        <w:tc>
          <w:tcPr>
            <w:tcW w:w="1854" w:type="dxa"/>
            <w:tcBorders>
              <w:top w:val="single" w:color="auto" w:sz="6" w:space="0"/>
              <w:bottom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3000</w:t>
            </w:r>
          </w:p>
        </w:tc>
        <w:tc>
          <w:tcPr>
            <w:tcW w:w="2572" w:type="dxa"/>
            <w:tcBorders>
              <w:top w:val="single" w:color="auto" w:sz="6" w:space="0"/>
              <w:bottom w:val="single" w:color="auto" w:sz="6" w:space="0"/>
            </w:tcBorders>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地上储罐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717" w:type="dxa"/>
            <w:tcBorders>
              <w:top w:val="single" w:color="auto" w:sz="6" w:space="0"/>
              <w:bottom w:val="single" w:color="auto" w:sz="6" w:space="0"/>
            </w:tcBorders>
            <w:shd w:val="clear" w:color="auto" w:fill="auto"/>
            <w:noWrap w:val="0"/>
            <w:vAlign w:val="center"/>
          </w:tcPr>
          <w:p>
            <w:pPr>
              <w:pStyle w:val="26"/>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15</w:t>
            </w:r>
          </w:p>
        </w:tc>
        <w:tc>
          <w:tcPr>
            <w:tcW w:w="1322"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cs="Times New Roman"/>
                <w:sz w:val="21"/>
                <w:szCs w:val="21"/>
              </w:rPr>
              <w:t>D-11-050</w:t>
            </w:r>
          </w:p>
        </w:tc>
        <w:tc>
          <w:tcPr>
            <w:tcW w:w="1773"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cs="Times New Roman"/>
                <w:sz w:val="21"/>
                <w:szCs w:val="21"/>
              </w:rPr>
              <w:t>0#柴油</w:t>
            </w:r>
          </w:p>
        </w:tc>
        <w:tc>
          <w:tcPr>
            <w:tcW w:w="1854" w:type="dxa"/>
            <w:tcBorders>
              <w:top w:val="single" w:color="auto" w:sz="6" w:space="0"/>
              <w:bottom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3440</w:t>
            </w:r>
          </w:p>
        </w:tc>
        <w:tc>
          <w:tcPr>
            <w:tcW w:w="2572" w:type="dxa"/>
            <w:tcBorders>
              <w:top w:val="single" w:color="auto" w:sz="6" w:space="0"/>
              <w:bottom w:val="single" w:color="auto" w:sz="6" w:space="0"/>
            </w:tcBorders>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地上储罐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717" w:type="dxa"/>
            <w:tcBorders>
              <w:top w:val="single" w:color="auto" w:sz="6" w:space="0"/>
            </w:tcBorders>
            <w:shd w:val="clear" w:color="auto" w:fill="auto"/>
            <w:noWrap w:val="0"/>
            <w:vAlign w:val="center"/>
          </w:tcPr>
          <w:p>
            <w:pPr>
              <w:pStyle w:val="26"/>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16</w:t>
            </w:r>
          </w:p>
        </w:tc>
        <w:tc>
          <w:tcPr>
            <w:tcW w:w="1322" w:type="dxa"/>
            <w:tcBorders>
              <w:top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G</w:t>
            </w:r>
            <w:r>
              <w:rPr>
                <w:rFonts w:hint="default" w:ascii="Times New Roman" w:hAnsi="Times New Roman" w:cs="Times New Roman"/>
                <w:sz w:val="21"/>
                <w:szCs w:val="21"/>
              </w:rPr>
              <w:t>-12-050</w:t>
            </w:r>
          </w:p>
        </w:tc>
        <w:tc>
          <w:tcPr>
            <w:tcW w:w="1773" w:type="dxa"/>
            <w:tcBorders>
              <w:top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cs="Times New Roman"/>
                <w:sz w:val="21"/>
                <w:szCs w:val="21"/>
              </w:rPr>
              <w:t>92#汽油</w:t>
            </w:r>
          </w:p>
        </w:tc>
        <w:tc>
          <w:tcPr>
            <w:tcW w:w="1854" w:type="dxa"/>
            <w:tcBorders>
              <w:top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3000</w:t>
            </w:r>
          </w:p>
        </w:tc>
        <w:tc>
          <w:tcPr>
            <w:tcW w:w="2572" w:type="dxa"/>
            <w:tcBorders>
              <w:top w:val="single" w:color="auto" w:sz="6" w:space="0"/>
            </w:tcBorders>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地上储罐</w:t>
            </w:r>
          </w:p>
        </w:tc>
      </w:tr>
    </w:tbl>
    <w:p>
      <w:pPr>
        <w:pStyle w:val="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lang w:val="en-US" w:eastAsia="zh-CN"/>
        </w:rPr>
      </w:pPr>
    </w:p>
    <w:p>
      <w:pPr>
        <w:pStyle w:val="22"/>
        <w:keepNext w:val="0"/>
        <w:keepLines w:val="0"/>
        <w:pageBreakBefore w:val="0"/>
        <w:widowControl w:val="0"/>
        <w:kinsoku/>
        <w:wordWrap/>
        <w:overflowPunct/>
        <w:topLinePunct w:val="0"/>
        <w:autoSpaceDE/>
        <w:autoSpaceDN/>
        <w:bidi w:val="0"/>
        <w:adjustRightInd/>
        <w:snapToGrid/>
        <w:spacing w:before="0" w:beforeLines="0" w:after="0" w:afterLines="0"/>
        <w:textAlignment w:val="auto"/>
        <w:outlineLvl w:val="1"/>
        <w:rPr>
          <w:rFonts w:hint="eastAsia" w:ascii="Times New Roman" w:hAnsi="Times New Roman" w:eastAsia="宋体" w:cs="Times New Roman"/>
          <w:lang w:val="en-US" w:eastAsia="zh-CN"/>
        </w:rPr>
      </w:pPr>
      <w:bookmarkStart w:id="25" w:name="_Toc29176"/>
      <w:r>
        <w:rPr>
          <w:rFonts w:hint="eastAsia" w:ascii="Times New Roman" w:hAnsi="Times New Roman" w:eastAsia="宋体" w:cs="Times New Roman"/>
          <w:lang w:val="en-US" w:eastAsia="zh-CN"/>
        </w:rPr>
        <w:t>3.1</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3主要设备情况</w:t>
      </w:r>
      <w:bookmarkEnd w:id="25"/>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cs="Times New Roman" w:eastAsiaTheme="minorEastAsia"/>
          <w:color w:val="auto"/>
          <w:highlight w:val="none"/>
        </w:rPr>
        <w:t>公司建立了完善的设备检修制度，定期对公司设备进行巡查、检修，并做好相关记录，确保设备正常运转，有力保证了生产，确保产品产量和质量的稳定。公司主要设备情况见下表。</w:t>
      </w:r>
    </w:p>
    <w:p>
      <w:pPr>
        <w:pStyle w:val="27"/>
        <w:keepNext w:val="0"/>
        <w:keepLines w:val="0"/>
        <w:pageBreakBefore w:val="0"/>
        <w:widowControl/>
        <w:kinsoku/>
        <w:wordWrap/>
        <w:overflowPunct/>
        <w:topLinePunct w:val="0"/>
        <w:autoSpaceDE/>
        <w:autoSpaceDN/>
        <w:bidi w:val="0"/>
        <w:adjustRightInd/>
        <w:snapToGrid/>
        <w:spacing w:before="0" w:beforeLines="0" w:after="0" w:line="360" w:lineRule="auto"/>
        <w:ind w:firstLine="0"/>
        <w:textAlignment w:val="auto"/>
        <w:rPr>
          <w:rFonts w:hint="eastAsia" w:ascii="Times New Roman" w:hAnsi="Times New Roman" w:eastAsia="宋体" w:cs="Times New Roman"/>
          <w:color w:val="auto"/>
          <w:szCs w:val="28"/>
          <w:lang w:eastAsia="zh-CN"/>
        </w:rPr>
      </w:pPr>
      <w:r>
        <w:rPr>
          <w:rFonts w:hint="default" w:ascii="Times New Roman" w:hAnsi="Times New Roman" w:eastAsia="宋体" w:cs="Times New Roman"/>
          <w:color w:val="auto"/>
          <w:szCs w:val="28"/>
        </w:rPr>
        <w:t>表</w:t>
      </w:r>
      <w:r>
        <w:rPr>
          <w:rFonts w:hint="eastAsia" w:cs="Times New Roman"/>
          <w:color w:val="auto"/>
          <w:lang w:val="en-US" w:eastAsia="zh-CN"/>
        </w:rPr>
        <w:t>3</w:t>
      </w:r>
      <w:r>
        <w:rPr>
          <w:rFonts w:hint="default" w:ascii="Times New Roman" w:hAnsi="Times New Roman" w:eastAsia="宋体" w:cs="Times New Roman"/>
          <w:color w:val="auto"/>
        </w:rPr>
        <w:t>.1-</w:t>
      </w:r>
      <w:r>
        <w:rPr>
          <w:rFonts w:hint="eastAsia" w:ascii="Times New Roman" w:hAnsi="Times New Roman" w:eastAsia="宋体" w:cs="Times New Roman"/>
          <w:color w:val="auto"/>
          <w:lang w:val="en-US" w:eastAsia="zh-CN"/>
        </w:rPr>
        <w:t>4</w:t>
      </w:r>
      <w:r>
        <w:rPr>
          <w:rFonts w:hint="default"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szCs w:val="28"/>
          <w:lang w:eastAsia="zh-CN"/>
        </w:rPr>
        <w:t>项目生产设备情况一览表</w:t>
      </w:r>
    </w:p>
    <w:tbl>
      <w:tblPr>
        <w:tblStyle w:val="15"/>
        <w:tblW w:w="483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5"/>
        <w:gridCol w:w="1492"/>
        <w:gridCol w:w="2739"/>
        <w:gridCol w:w="1101"/>
        <w:gridCol w:w="19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3" w:type="pct"/>
            <w:tcBorders>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904" w:type="pct"/>
            <w:tcBorders>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主要设备</w:t>
            </w:r>
          </w:p>
        </w:tc>
        <w:tc>
          <w:tcPr>
            <w:tcW w:w="1660" w:type="pct"/>
            <w:tcBorders>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规格型号</w:t>
            </w:r>
          </w:p>
        </w:tc>
        <w:tc>
          <w:tcPr>
            <w:tcW w:w="667" w:type="pct"/>
            <w:tcBorders>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数量</w:t>
            </w:r>
          </w:p>
        </w:tc>
        <w:tc>
          <w:tcPr>
            <w:tcW w:w="1164" w:type="pct"/>
            <w:tcBorders>
              <w:left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3" w:type="pct"/>
            <w:tcBorders>
              <w:top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492"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油罐</w:t>
            </w:r>
          </w:p>
        </w:tc>
        <w:tc>
          <w:tcPr>
            <w:tcW w:w="2739"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eastAsia" w:cs="Times New Roman"/>
                <w:sz w:val="21"/>
                <w:szCs w:val="21"/>
                <w:lang w:eastAsia="zh-CN"/>
              </w:rPr>
              <w:t>内</w:t>
            </w:r>
            <w:r>
              <w:rPr>
                <w:rFonts w:hint="default" w:ascii="Times New Roman" w:hAnsi="Times New Roman" w:eastAsia="宋体" w:cs="Times New Roman"/>
                <w:sz w:val="21"/>
                <w:szCs w:val="21"/>
              </w:rPr>
              <w:t>浮顶罐</w:t>
            </w:r>
          </w:p>
        </w:tc>
        <w:tc>
          <w:tcPr>
            <w:tcW w:w="110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r>
              <w:rPr>
                <w:rFonts w:hint="eastAsia" w:cs="Times New Roman"/>
                <w:sz w:val="21"/>
                <w:szCs w:val="21"/>
                <w:lang w:val="en-US" w:eastAsia="zh-CN"/>
              </w:rPr>
              <w:t>6</w:t>
            </w:r>
            <w:r>
              <w:rPr>
                <w:rFonts w:hint="default" w:ascii="Times New Roman" w:hAnsi="Times New Roman" w:eastAsia="宋体" w:cs="Times New Roman"/>
                <w:sz w:val="21"/>
                <w:szCs w:val="21"/>
              </w:rPr>
              <w:t>个</w:t>
            </w:r>
          </w:p>
        </w:tc>
        <w:tc>
          <w:tcPr>
            <w:tcW w:w="1921" w:type="dxa"/>
            <w:tcBorders>
              <w:top w:val="single" w:color="auto" w:sz="6" w:space="0"/>
              <w:left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3" w:type="pct"/>
            <w:tcBorders>
              <w:top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492"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发电机</w:t>
            </w:r>
          </w:p>
        </w:tc>
        <w:tc>
          <w:tcPr>
            <w:tcW w:w="2739"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THLM400PB</w:t>
            </w:r>
          </w:p>
        </w:tc>
        <w:tc>
          <w:tcPr>
            <w:tcW w:w="110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1台</w:t>
            </w:r>
          </w:p>
        </w:tc>
        <w:tc>
          <w:tcPr>
            <w:tcW w:w="1921" w:type="dxa"/>
            <w:tcBorders>
              <w:top w:val="single" w:color="auto" w:sz="6" w:space="0"/>
              <w:left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发电机房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3" w:type="pct"/>
            <w:tcBorders>
              <w:top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1492"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开关柜</w:t>
            </w:r>
          </w:p>
        </w:tc>
        <w:tc>
          <w:tcPr>
            <w:tcW w:w="2739"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MLS</w:t>
            </w:r>
          </w:p>
        </w:tc>
        <w:tc>
          <w:tcPr>
            <w:tcW w:w="110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37套</w:t>
            </w:r>
          </w:p>
        </w:tc>
        <w:tc>
          <w:tcPr>
            <w:tcW w:w="1921" w:type="dxa"/>
            <w:tcBorders>
              <w:top w:val="single" w:color="auto" w:sz="6" w:space="0"/>
              <w:left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配电间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3" w:type="pct"/>
            <w:tcBorders>
              <w:top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1492"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发油泵组</w:t>
            </w:r>
          </w:p>
        </w:tc>
        <w:tc>
          <w:tcPr>
            <w:tcW w:w="2739"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100GY25A</w:t>
            </w:r>
          </w:p>
        </w:tc>
        <w:tc>
          <w:tcPr>
            <w:tcW w:w="110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w:t>
            </w:r>
            <w:r>
              <w:rPr>
                <w:rFonts w:hint="eastAsia" w:cs="Times New Roman"/>
                <w:sz w:val="21"/>
                <w:szCs w:val="21"/>
                <w:lang w:val="en-US" w:eastAsia="zh-CN"/>
              </w:rPr>
              <w:t>4</w:t>
            </w:r>
            <w:r>
              <w:rPr>
                <w:rFonts w:hint="default" w:ascii="Times New Roman" w:hAnsi="Times New Roman" w:eastAsia="宋体" w:cs="Times New Roman"/>
                <w:sz w:val="21"/>
                <w:szCs w:val="21"/>
              </w:rPr>
              <w:t>套</w:t>
            </w:r>
          </w:p>
        </w:tc>
        <w:tc>
          <w:tcPr>
            <w:tcW w:w="1921" w:type="dxa"/>
            <w:tcBorders>
              <w:top w:val="single" w:color="auto" w:sz="6" w:space="0"/>
              <w:left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发油台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3" w:type="pct"/>
            <w:tcBorders>
              <w:top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1492"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发油鹤管</w:t>
            </w:r>
          </w:p>
        </w:tc>
        <w:tc>
          <w:tcPr>
            <w:tcW w:w="2739"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HD-100</w:t>
            </w:r>
          </w:p>
        </w:tc>
        <w:tc>
          <w:tcPr>
            <w:tcW w:w="110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w:t>
            </w:r>
            <w:r>
              <w:rPr>
                <w:rFonts w:hint="eastAsia" w:cs="Times New Roman"/>
                <w:sz w:val="21"/>
                <w:szCs w:val="21"/>
                <w:lang w:val="en-US" w:eastAsia="zh-CN"/>
              </w:rPr>
              <w:t>4</w:t>
            </w:r>
            <w:r>
              <w:rPr>
                <w:rFonts w:hint="default" w:ascii="Times New Roman" w:hAnsi="Times New Roman" w:eastAsia="宋体" w:cs="Times New Roman"/>
                <w:sz w:val="21"/>
                <w:szCs w:val="21"/>
              </w:rPr>
              <w:t>套</w:t>
            </w:r>
          </w:p>
        </w:tc>
        <w:tc>
          <w:tcPr>
            <w:tcW w:w="1921" w:type="dxa"/>
            <w:tcBorders>
              <w:top w:val="single" w:color="auto" w:sz="6" w:space="0"/>
              <w:left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发油台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3" w:type="pct"/>
            <w:tcBorders>
              <w:top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1492"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防溢油装置</w:t>
            </w:r>
          </w:p>
        </w:tc>
        <w:tc>
          <w:tcPr>
            <w:tcW w:w="2739"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DN100</w:t>
            </w:r>
          </w:p>
        </w:tc>
        <w:tc>
          <w:tcPr>
            <w:tcW w:w="110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w:t>
            </w:r>
            <w:r>
              <w:rPr>
                <w:rFonts w:hint="eastAsia" w:cs="Times New Roman"/>
                <w:sz w:val="21"/>
                <w:szCs w:val="21"/>
                <w:lang w:val="en-US" w:eastAsia="zh-CN"/>
              </w:rPr>
              <w:t>4</w:t>
            </w:r>
            <w:r>
              <w:rPr>
                <w:rFonts w:hint="default" w:ascii="Times New Roman" w:hAnsi="Times New Roman" w:eastAsia="宋体" w:cs="Times New Roman"/>
                <w:sz w:val="21"/>
                <w:szCs w:val="21"/>
              </w:rPr>
              <w:t>套</w:t>
            </w:r>
          </w:p>
        </w:tc>
        <w:tc>
          <w:tcPr>
            <w:tcW w:w="1921" w:type="dxa"/>
            <w:tcBorders>
              <w:top w:val="single" w:color="auto" w:sz="6" w:space="0"/>
              <w:left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发油台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3" w:type="pct"/>
            <w:tcBorders>
              <w:top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1492"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质量流量计</w:t>
            </w:r>
          </w:p>
        </w:tc>
        <w:tc>
          <w:tcPr>
            <w:tcW w:w="2739"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F300S355CWBAMZAZZ</w:t>
            </w:r>
          </w:p>
        </w:tc>
        <w:tc>
          <w:tcPr>
            <w:tcW w:w="110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w:t>
            </w:r>
            <w:r>
              <w:rPr>
                <w:rFonts w:hint="eastAsia" w:cs="Times New Roman"/>
                <w:sz w:val="21"/>
                <w:szCs w:val="21"/>
                <w:lang w:val="en-US" w:eastAsia="zh-CN"/>
              </w:rPr>
              <w:t>4</w:t>
            </w:r>
            <w:r>
              <w:rPr>
                <w:rFonts w:hint="default" w:ascii="Times New Roman" w:hAnsi="Times New Roman" w:eastAsia="宋体" w:cs="Times New Roman"/>
                <w:sz w:val="21"/>
                <w:szCs w:val="21"/>
              </w:rPr>
              <w:t>套</w:t>
            </w:r>
          </w:p>
        </w:tc>
        <w:tc>
          <w:tcPr>
            <w:tcW w:w="1921" w:type="dxa"/>
            <w:tcBorders>
              <w:top w:val="single" w:color="auto" w:sz="6" w:space="0"/>
              <w:left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发油台、罐组区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3" w:type="pct"/>
            <w:tcBorders>
              <w:top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1492"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液位计</w:t>
            </w:r>
          </w:p>
        </w:tc>
        <w:tc>
          <w:tcPr>
            <w:tcW w:w="2739"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MCCIS00SFI</w:t>
            </w:r>
          </w:p>
        </w:tc>
        <w:tc>
          <w:tcPr>
            <w:tcW w:w="110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w:t>
            </w:r>
            <w:r>
              <w:rPr>
                <w:rFonts w:hint="eastAsia" w:cs="Times New Roman"/>
                <w:sz w:val="21"/>
                <w:szCs w:val="21"/>
                <w:lang w:val="en-US" w:eastAsia="zh-CN"/>
              </w:rPr>
              <w:t>6</w:t>
            </w:r>
            <w:r>
              <w:rPr>
                <w:rFonts w:hint="default" w:ascii="Times New Roman" w:hAnsi="Times New Roman" w:eastAsia="宋体" w:cs="Times New Roman"/>
                <w:sz w:val="21"/>
                <w:szCs w:val="21"/>
              </w:rPr>
              <w:t>套</w:t>
            </w:r>
          </w:p>
        </w:tc>
        <w:tc>
          <w:tcPr>
            <w:tcW w:w="1921" w:type="dxa"/>
            <w:tcBorders>
              <w:top w:val="single" w:color="auto" w:sz="6" w:space="0"/>
              <w:left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罐组区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3" w:type="pct"/>
            <w:tcBorders>
              <w:top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1492"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自动付油系统</w:t>
            </w:r>
          </w:p>
        </w:tc>
        <w:tc>
          <w:tcPr>
            <w:tcW w:w="2739"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LK3000</w:t>
            </w:r>
          </w:p>
        </w:tc>
        <w:tc>
          <w:tcPr>
            <w:tcW w:w="110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w:t>
            </w:r>
            <w:r>
              <w:rPr>
                <w:rFonts w:hint="eastAsia" w:cs="Times New Roman"/>
                <w:sz w:val="21"/>
                <w:szCs w:val="21"/>
                <w:lang w:val="en-US" w:eastAsia="zh-CN"/>
              </w:rPr>
              <w:t>4</w:t>
            </w:r>
            <w:r>
              <w:rPr>
                <w:rFonts w:hint="default" w:ascii="Times New Roman" w:hAnsi="Times New Roman" w:eastAsia="宋体" w:cs="Times New Roman"/>
                <w:sz w:val="21"/>
                <w:szCs w:val="21"/>
              </w:rPr>
              <w:t>套</w:t>
            </w:r>
          </w:p>
        </w:tc>
        <w:tc>
          <w:tcPr>
            <w:tcW w:w="1921" w:type="dxa"/>
            <w:tcBorders>
              <w:top w:val="single" w:color="auto" w:sz="6" w:space="0"/>
              <w:left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罐组区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3" w:type="pct"/>
            <w:tcBorders>
              <w:top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1492"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电液阀</w:t>
            </w:r>
          </w:p>
        </w:tc>
        <w:tc>
          <w:tcPr>
            <w:tcW w:w="2739"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BFDY</w:t>
            </w:r>
          </w:p>
        </w:tc>
        <w:tc>
          <w:tcPr>
            <w:tcW w:w="110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14套</w:t>
            </w:r>
          </w:p>
        </w:tc>
        <w:tc>
          <w:tcPr>
            <w:tcW w:w="1921" w:type="dxa"/>
            <w:tcBorders>
              <w:top w:val="single" w:color="auto" w:sz="6" w:space="0"/>
              <w:left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二库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3" w:type="pct"/>
            <w:tcBorders>
              <w:top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w:t>
            </w:r>
          </w:p>
        </w:tc>
        <w:tc>
          <w:tcPr>
            <w:tcW w:w="1492"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门禁系统</w:t>
            </w:r>
          </w:p>
        </w:tc>
        <w:tc>
          <w:tcPr>
            <w:tcW w:w="2739"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w:t>
            </w:r>
          </w:p>
        </w:tc>
        <w:tc>
          <w:tcPr>
            <w:tcW w:w="110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2</w:t>
            </w:r>
            <w:r>
              <w:rPr>
                <w:rFonts w:hint="default" w:ascii="Times New Roman" w:hAnsi="Times New Roman" w:eastAsia="宋体" w:cs="Times New Roman"/>
                <w:sz w:val="21"/>
                <w:szCs w:val="21"/>
              </w:rPr>
              <w:t>套</w:t>
            </w:r>
          </w:p>
        </w:tc>
        <w:tc>
          <w:tcPr>
            <w:tcW w:w="1921" w:type="dxa"/>
            <w:tcBorders>
              <w:top w:val="single" w:color="auto" w:sz="6" w:space="0"/>
              <w:left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二库</w:t>
            </w:r>
            <w:r>
              <w:rPr>
                <w:rFonts w:hint="eastAsia" w:cs="Times New Roman"/>
                <w:sz w:val="21"/>
                <w:szCs w:val="21"/>
                <w:lang w:eastAsia="zh-CN"/>
              </w:rPr>
              <w:t>、码头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3" w:type="pct"/>
            <w:tcBorders>
              <w:top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1492"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安全监控系统</w:t>
            </w:r>
          </w:p>
        </w:tc>
        <w:tc>
          <w:tcPr>
            <w:tcW w:w="2739"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A1072666</w:t>
            </w:r>
          </w:p>
        </w:tc>
        <w:tc>
          <w:tcPr>
            <w:tcW w:w="110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1套</w:t>
            </w:r>
          </w:p>
        </w:tc>
        <w:tc>
          <w:tcPr>
            <w:tcW w:w="1921" w:type="dxa"/>
            <w:tcBorders>
              <w:top w:val="single" w:color="auto" w:sz="6" w:space="0"/>
              <w:left w:val="single" w:color="auto" w:sz="6" w:space="0"/>
              <w:bottom w:val="single" w:color="auto" w:sz="6"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二库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3" w:type="pct"/>
            <w:tcBorders>
              <w:top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w:t>
            </w:r>
          </w:p>
        </w:tc>
        <w:tc>
          <w:tcPr>
            <w:tcW w:w="1492"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柴油机消防泵</w:t>
            </w:r>
          </w:p>
        </w:tc>
        <w:tc>
          <w:tcPr>
            <w:tcW w:w="2739"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6135AZD</w:t>
            </w:r>
          </w:p>
        </w:tc>
        <w:tc>
          <w:tcPr>
            <w:tcW w:w="110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1套</w:t>
            </w:r>
          </w:p>
        </w:tc>
        <w:tc>
          <w:tcPr>
            <w:tcW w:w="1921" w:type="dxa"/>
            <w:tcBorders>
              <w:top w:val="single" w:color="auto" w:sz="6" w:space="0"/>
              <w:left w:val="single" w:color="auto" w:sz="6" w:space="0"/>
              <w:bottom w:val="single" w:color="auto" w:sz="6"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eastAsia="zh-CN"/>
              </w:rPr>
              <w:t>码头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3" w:type="pct"/>
            <w:tcBorders>
              <w:top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w:t>
            </w:r>
          </w:p>
        </w:tc>
        <w:tc>
          <w:tcPr>
            <w:tcW w:w="1492"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eastAsia="zh-CN"/>
              </w:rPr>
              <w:t>生活</w:t>
            </w:r>
            <w:r>
              <w:rPr>
                <w:rFonts w:hint="default" w:ascii="Times New Roman" w:hAnsi="Times New Roman" w:eastAsia="宋体" w:cs="Times New Roman"/>
                <w:sz w:val="21"/>
                <w:szCs w:val="21"/>
              </w:rPr>
              <w:t>污水处理系统</w:t>
            </w:r>
          </w:p>
        </w:tc>
        <w:tc>
          <w:tcPr>
            <w:tcW w:w="2739"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110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1套</w:t>
            </w:r>
          </w:p>
        </w:tc>
        <w:tc>
          <w:tcPr>
            <w:tcW w:w="1921" w:type="dxa"/>
            <w:tcBorders>
              <w:top w:val="single" w:color="auto" w:sz="6" w:space="0"/>
              <w:left w:val="single" w:color="auto" w:sz="6" w:space="0"/>
              <w:bottom w:val="single" w:color="auto" w:sz="6"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二库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3" w:type="pct"/>
            <w:tcBorders>
              <w:top w:val="single" w:color="auto" w:sz="6" w:space="0"/>
              <w:bottom w:val="single" w:color="auto" w:sz="12"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1492" w:type="dxa"/>
            <w:tcBorders>
              <w:top w:val="single" w:color="auto" w:sz="6" w:space="0"/>
              <w:left w:val="single" w:color="auto" w:sz="6" w:space="0"/>
              <w:bottom w:val="single" w:color="auto" w:sz="12"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稳高压系统</w:t>
            </w:r>
          </w:p>
        </w:tc>
        <w:tc>
          <w:tcPr>
            <w:tcW w:w="2739" w:type="dxa"/>
            <w:tcBorders>
              <w:top w:val="single" w:color="auto" w:sz="6" w:space="0"/>
              <w:left w:val="single" w:color="auto" w:sz="6" w:space="0"/>
              <w:bottom w:val="single" w:color="auto" w:sz="12"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1.2MPa稳高压</w:t>
            </w:r>
          </w:p>
        </w:tc>
        <w:tc>
          <w:tcPr>
            <w:tcW w:w="1101" w:type="dxa"/>
            <w:tcBorders>
              <w:top w:val="single" w:color="auto" w:sz="6" w:space="0"/>
              <w:left w:val="single" w:color="auto" w:sz="6" w:space="0"/>
              <w:bottom w:val="single" w:color="auto" w:sz="12"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1套</w:t>
            </w:r>
          </w:p>
        </w:tc>
        <w:tc>
          <w:tcPr>
            <w:tcW w:w="1921" w:type="dxa"/>
            <w:tcBorders>
              <w:top w:val="single" w:color="auto" w:sz="6" w:space="0"/>
              <w:left w:val="single" w:color="auto" w:sz="6" w:space="0"/>
              <w:bottom w:val="single" w:color="auto" w:sz="12"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二库</w:t>
            </w:r>
            <w:r>
              <w:rPr>
                <w:rFonts w:hint="eastAsia" w:cs="Times New Roman"/>
                <w:sz w:val="21"/>
                <w:szCs w:val="21"/>
                <w:lang w:eastAsia="zh-CN"/>
              </w:rPr>
              <w:t>、码头</w:t>
            </w:r>
          </w:p>
        </w:tc>
      </w:tr>
    </w:tbl>
    <w:p>
      <w:pPr>
        <w:rPr>
          <w:rFonts w:hint="eastAsia"/>
          <w:lang w:eastAsia="zh-CN"/>
        </w:rPr>
      </w:pPr>
    </w:p>
    <w:p>
      <w:pPr>
        <w:pStyle w:val="22"/>
        <w:keepNext w:val="0"/>
        <w:keepLines w:val="0"/>
        <w:pageBreakBefore w:val="0"/>
        <w:widowControl w:val="0"/>
        <w:kinsoku/>
        <w:wordWrap/>
        <w:overflowPunct/>
        <w:topLinePunct w:val="0"/>
        <w:autoSpaceDE/>
        <w:autoSpaceDN/>
        <w:bidi w:val="0"/>
        <w:adjustRightInd/>
        <w:snapToGrid/>
        <w:spacing w:before="0" w:beforeLines="0" w:after="0" w:afterLines="0"/>
        <w:textAlignment w:val="auto"/>
        <w:outlineLvl w:val="1"/>
        <w:rPr>
          <w:rFonts w:hint="eastAsia" w:ascii="Times New Roman" w:hAnsi="Times New Roman" w:eastAsia="宋体" w:cs="Times New Roman"/>
          <w:lang w:val="en-US" w:eastAsia="zh-CN"/>
        </w:rPr>
      </w:pPr>
      <w:bookmarkStart w:id="26" w:name="_Toc17252"/>
      <w:r>
        <w:rPr>
          <w:rFonts w:hint="eastAsia" w:ascii="Times New Roman" w:hAnsi="Times New Roman" w:eastAsia="宋体" w:cs="Times New Roman"/>
          <w:lang w:val="en-US" w:eastAsia="zh-CN"/>
        </w:rPr>
        <w:t>3.1</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4生产工艺</w:t>
      </w:r>
      <w:bookmarkEnd w:id="26"/>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eastAsia" w:hAnsi="宋体"/>
          <w:sz w:val="24"/>
        </w:rPr>
        <w:t>本项目是柴油、汽油的储运销售，过程不涉及化工反应、加工过程</w:t>
      </w:r>
      <w:r>
        <w:rPr>
          <w:rFonts w:hint="eastAsia" w:hAnsi="宋体"/>
          <w:sz w:val="24"/>
          <w:lang w:eastAsia="zh-CN"/>
        </w:rPr>
        <w:t>，</w:t>
      </w:r>
      <w:r>
        <w:rPr>
          <w:rFonts w:hint="eastAsia" w:hAnsi="宋体"/>
          <w:sz w:val="24"/>
        </w:rPr>
        <w:t>主要是产品的输送和储存。</w:t>
      </w:r>
      <w:r>
        <w:rPr>
          <w:rFonts w:hint="eastAsia" w:hAnsi="宋体"/>
          <w:sz w:val="24"/>
          <w:lang w:eastAsia="zh-CN"/>
        </w:rPr>
        <w:t>油</w:t>
      </w:r>
      <w:r>
        <w:rPr>
          <w:rFonts w:hint="eastAsia" w:hAnsi="宋体"/>
          <w:sz w:val="24"/>
        </w:rPr>
        <w:t>品由船运至库区码头，由码头泵站计量、输送至储罐和九炼成品油泵房通过管道输送至储罐，再用公路发油泵计量、输送，通过公路发油鹤管到汽车油罐车。或用给油泵输送到主输泵计量、输送至</w:t>
      </w:r>
      <w:r>
        <w:rPr>
          <w:rFonts w:hint="eastAsia" w:hAnsi="宋体"/>
          <w:sz w:val="24"/>
          <w:lang w:eastAsia="zh-CN"/>
        </w:rPr>
        <w:t>国家管网</w:t>
      </w:r>
      <w:r>
        <w:rPr>
          <w:rFonts w:hint="eastAsia" w:hAnsi="宋体"/>
          <w:sz w:val="24"/>
        </w:rPr>
        <w:t>管道。</w:t>
      </w:r>
    </w:p>
    <w:p>
      <w:pPr>
        <w:spacing w:line="360" w:lineRule="auto"/>
        <w:ind w:firstLine="560" w:firstLineChars="200"/>
        <w:rPr>
          <w:rFonts w:hint="eastAsia" w:hAnsi="宋体"/>
          <w:szCs w:val="21"/>
        </w:rPr>
      </w:pPr>
      <w:r>
        <w:rPr>
          <w:sz w:val="28"/>
        </w:rPr>
        <mc:AlternateContent>
          <mc:Choice Requires="wpg">
            <w:drawing>
              <wp:anchor distT="0" distB="0" distL="114300" distR="114300" simplePos="0" relativeHeight="251660288" behindDoc="0" locked="0" layoutInCell="1" allowOverlap="1">
                <wp:simplePos x="0" y="0"/>
                <wp:positionH relativeFrom="column">
                  <wp:posOffset>-114300</wp:posOffset>
                </wp:positionH>
                <wp:positionV relativeFrom="paragraph">
                  <wp:posOffset>22225</wp:posOffset>
                </wp:positionV>
                <wp:extent cx="5872480" cy="2786380"/>
                <wp:effectExtent l="0" t="5080" r="0" b="0"/>
                <wp:wrapNone/>
                <wp:docPr id="59" name="组合 59"/>
                <wp:cNvGraphicFramePr/>
                <a:graphic xmlns:a="http://schemas.openxmlformats.org/drawingml/2006/main">
                  <a:graphicData uri="http://schemas.microsoft.com/office/word/2010/wordprocessingGroup">
                    <wpg:wgp>
                      <wpg:cNvGrpSpPr/>
                      <wpg:grpSpPr>
                        <a:xfrm>
                          <a:off x="0" y="0"/>
                          <a:ext cx="5872480" cy="2786380"/>
                          <a:chOff x="1903" y="172968"/>
                          <a:chExt cx="9248" cy="4388"/>
                        </a:xfrm>
                      </wpg:grpSpPr>
                      <wps:wsp>
                        <wps:cNvPr id="39" name="矩形 39"/>
                        <wps:cNvSpPr/>
                        <wps:spPr>
                          <a:xfrm>
                            <a:off x="4903" y="172968"/>
                            <a:ext cx="901" cy="4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计量</w:t>
                              </w:r>
                            </w:p>
                          </w:txbxContent>
                        </wps:txbx>
                        <wps:bodyPr upright="1"/>
                      </wps:wsp>
                      <wps:wsp>
                        <wps:cNvPr id="38" name="文本框 38"/>
                        <wps:cNvSpPr txBox="1"/>
                        <wps:spPr>
                          <a:xfrm>
                            <a:off x="6952" y="173286"/>
                            <a:ext cx="924" cy="655"/>
                          </a:xfrm>
                          <a:prstGeom prst="rect">
                            <a:avLst/>
                          </a:prstGeom>
                          <a:noFill/>
                          <a:ln>
                            <a:noFill/>
                          </a:ln>
                        </wps:spPr>
                        <wps:txbx>
                          <w:txbxContent>
                            <w:p>
                              <w:r>
                                <w:rPr>
                                  <w:rFonts w:hint="eastAsia"/>
                                </w:rPr>
                                <w:t>输入</w:t>
                              </w:r>
                            </w:p>
                          </w:txbxContent>
                        </wps:txbx>
                        <wps:bodyPr upright="1"/>
                      </wps:wsp>
                      <wps:wsp>
                        <wps:cNvPr id="56" name="直接箭头连接符 56"/>
                        <wps:cNvCnPr/>
                        <wps:spPr>
                          <a:xfrm>
                            <a:off x="5825" y="173139"/>
                            <a:ext cx="1217" cy="0"/>
                          </a:xfrm>
                          <a:prstGeom prst="straightConnector1">
                            <a:avLst/>
                          </a:prstGeom>
                          <a:ln w="9525" cap="flat" cmpd="sng">
                            <a:solidFill>
                              <a:srgbClr val="000000"/>
                            </a:solidFill>
                            <a:prstDash val="solid"/>
                            <a:headEnd type="none" w="med" len="med"/>
                            <a:tailEnd type="none" w="med" len="med"/>
                          </a:ln>
                        </wps:spPr>
                        <wps:bodyPr/>
                      </wps:wsp>
                      <wps:wsp>
                        <wps:cNvPr id="31" name="直接箭头连接符 31"/>
                        <wps:cNvCnPr/>
                        <wps:spPr>
                          <a:xfrm>
                            <a:off x="7042" y="173139"/>
                            <a:ext cx="0" cy="646"/>
                          </a:xfrm>
                          <a:prstGeom prst="straightConnector1">
                            <a:avLst/>
                          </a:prstGeom>
                          <a:ln w="9525" cap="flat" cmpd="sng">
                            <a:solidFill>
                              <a:srgbClr val="000000"/>
                            </a:solidFill>
                            <a:prstDash val="solid"/>
                            <a:headEnd type="none" w="med" len="med"/>
                            <a:tailEnd type="triangle" w="med" len="med"/>
                          </a:ln>
                        </wps:spPr>
                        <wps:bodyPr/>
                      </wps:wsp>
                      <wps:wsp>
                        <wps:cNvPr id="43" name="直接连接符 43"/>
                        <wps:cNvCnPr/>
                        <wps:spPr>
                          <a:xfrm>
                            <a:off x="4384" y="173139"/>
                            <a:ext cx="540" cy="0"/>
                          </a:xfrm>
                          <a:prstGeom prst="line">
                            <a:avLst/>
                          </a:prstGeom>
                          <a:ln w="9525" cap="flat" cmpd="sng">
                            <a:solidFill>
                              <a:srgbClr val="000000"/>
                            </a:solidFill>
                            <a:prstDash val="solid"/>
                            <a:headEnd type="none" w="med" len="med"/>
                            <a:tailEnd type="triangle" w="med" len="med"/>
                          </a:ln>
                        </wps:spPr>
                        <wps:bodyPr upright="1"/>
                      </wps:wsp>
                      <wps:wsp>
                        <wps:cNvPr id="55" name="文本框 55"/>
                        <wps:cNvSpPr txBox="1"/>
                        <wps:spPr>
                          <a:xfrm>
                            <a:off x="7378" y="173661"/>
                            <a:ext cx="849" cy="562"/>
                          </a:xfrm>
                          <a:prstGeom prst="rect">
                            <a:avLst/>
                          </a:prstGeom>
                          <a:noFill/>
                          <a:ln>
                            <a:noFill/>
                          </a:ln>
                        </wps:spPr>
                        <wps:txbx>
                          <w:txbxContent>
                            <w:p>
                              <w:r>
                                <w:rPr>
                                  <w:rFonts w:hint="eastAsia"/>
                                </w:rPr>
                                <w:t>输出</w:t>
                              </w:r>
                            </w:p>
                          </w:txbxContent>
                        </wps:txbx>
                        <wps:bodyPr upright="1"/>
                      </wps:wsp>
                      <wps:wsp>
                        <wps:cNvPr id="53" name="文本框 53"/>
                        <wps:cNvSpPr txBox="1"/>
                        <wps:spPr>
                          <a:xfrm>
                            <a:off x="5945" y="173706"/>
                            <a:ext cx="803" cy="645"/>
                          </a:xfrm>
                          <a:prstGeom prst="rect">
                            <a:avLst/>
                          </a:prstGeom>
                          <a:noFill/>
                          <a:ln>
                            <a:noFill/>
                          </a:ln>
                        </wps:spPr>
                        <wps:txbx>
                          <w:txbxContent>
                            <w:p>
                              <w:r>
                                <w:rPr>
                                  <w:rFonts w:hint="eastAsia"/>
                                </w:rPr>
                                <w:t>输入</w:t>
                              </w:r>
                            </w:p>
                          </w:txbxContent>
                        </wps:txbx>
                        <wps:bodyPr upright="1"/>
                      </wps:wsp>
                      <wps:wsp>
                        <wps:cNvPr id="48" name="文本框 48"/>
                        <wps:cNvSpPr txBox="1"/>
                        <wps:spPr>
                          <a:xfrm>
                            <a:off x="9643" y="17380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主输泵</w:t>
                              </w:r>
                            </w:p>
                          </w:txbxContent>
                        </wps:txbx>
                        <wps:bodyPr upright="1"/>
                      </wps:wsp>
                      <wps:wsp>
                        <wps:cNvPr id="51" name="文本框 51"/>
                        <wps:cNvSpPr txBox="1"/>
                        <wps:spPr>
                          <a:xfrm>
                            <a:off x="8032" y="173785"/>
                            <a:ext cx="10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给油泵</w:t>
                              </w:r>
                            </w:p>
                          </w:txbxContent>
                        </wps:txbx>
                        <wps:bodyPr upright="1"/>
                      </wps:wsp>
                      <wps:wsp>
                        <wps:cNvPr id="52" name="文本框 52"/>
                        <wps:cNvSpPr txBox="1"/>
                        <wps:spPr>
                          <a:xfrm>
                            <a:off x="6583" y="173800"/>
                            <a:ext cx="9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rFonts w:hint="eastAsia"/>
                                </w:rPr>
                              </w:pPr>
                              <w:r>
                                <w:rPr>
                                  <w:rFonts w:hint="eastAsia"/>
                                </w:rPr>
                                <w:t>储罐</w:t>
                              </w:r>
                            </w:p>
                          </w:txbxContent>
                        </wps:txbx>
                        <wps:bodyPr upright="1"/>
                      </wps:wsp>
                      <wps:wsp>
                        <wps:cNvPr id="32" name="文本框 32"/>
                        <wps:cNvSpPr txBox="1"/>
                        <wps:spPr>
                          <a:xfrm>
                            <a:off x="1903" y="173623"/>
                            <a:ext cx="1440" cy="468"/>
                          </a:xfrm>
                          <a:prstGeom prst="rect">
                            <a:avLst/>
                          </a:prstGeom>
                          <a:noFill/>
                          <a:ln>
                            <a:noFill/>
                          </a:ln>
                        </wps:spPr>
                        <wps:txbx>
                          <w:txbxContent>
                            <w:p>
                              <w:pPr>
                                <w:rPr>
                                  <w:rFonts w:hint="eastAsia" w:hAnsi="宋体"/>
                                  <w:szCs w:val="21"/>
                                </w:rPr>
                              </w:pPr>
                              <w:r>
                                <w:rPr>
                                  <w:rFonts w:hint="eastAsia" w:hAnsi="宋体"/>
                                  <w:szCs w:val="21"/>
                                </w:rPr>
                                <w:t>船运来产品</w:t>
                              </w:r>
                            </w:p>
                          </w:txbxContent>
                        </wps:txbx>
                        <wps:bodyPr upright="1"/>
                      </wps:wsp>
                      <wps:wsp>
                        <wps:cNvPr id="46" name="直接连接符 46"/>
                        <wps:cNvCnPr/>
                        <wps:spPr>
                          <a:xfrm>
                            <a:off x="4243" y="173941"/>
                            <a:ext cx="1" cy="0"/>
                          </a:xfrm>
                          <a:prstGeom prst="line">
                            <a:avLst/>
                          </a:prstGeom>
                          <a:ln w="9525" cap="flat" cmpd="sng">
                            <a:solidFill>
                              <a:srgbClr val="000000"/>
                            </a:solidFill>
                            <a:prstDash val="solid"/>
                            <a:headEnd type="none" w="med" len="med"/>
                            <a:tailEnd type="triangle" w="med" len="med"/>
                          </a:ln>
                        </wps:spPr>
                        <wps:bodyPr upright="1"/>
                      </wps:wsp>
                      <wps:wsp>
                        <wps:cNvPr id="54" name="文本框 54"/>
                        <wps:cNvSpPr txBox="1"/>
                        <wps:spPr>
                          <a:xfrm>
                            <a:off x="5143" y="173785"/>
                            <a:ext cx="9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计量</w:t>
                              </w:r>
                            </w:p>
                          </w:txbxContent>
                        </wps:txbx>
                        <wps:bodyPr upright="1"/>
                      </wps:wsp>
                      <wps:wsp>
                        <wps:cNvPr id="37" name="文本框 37"/>
                        <wps:cNvSpPr txBox="1"/>
                        <wps:spPr>
                          <a:xfrm>
                            <a:off x="3343" y="173785"/>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码头泵站</w:t>
                              </w:r>
                            </w:p>
                          </w:txbxContent>
                        </wps:txbx>
                        <wps:bodyPr upright="1"/>
                      </wps:wsp>
                      <wps:wsp>
                        <wps:cNvPr id="44" name="直接箭头连接符 44"/>
                        <wps:cNvCnPr/>
                        <wps:spPr>
                          <a:xfrm>
                            <a:off x="7042" y="174268"/>
                            <a:ext cx="0" cy="567"/>
                          </a:xfrm>
                          <a:prstGeom prst="straightConnector1">
                            <a:avLst/>
                          </a:prstGeom>
                          <a:ln w="9525" cap="flat" cmpd="sng">
                            <a:solidFill>
                              <a:srgbClr val="000000"/>
                            </a:solidFill>
                            <a:prstDash val="solid"/>
                            <a:headEnd type="none" w="med" len="med"/>
                            <a:tailEnd type="triangle" w="med" len="med"/>
                          </a:ln>
                        </wps:spPr>
                        <wps:bodyPr/>
                      </wps:wsp>
                      <wps:wsp>
                        <wps:cNvPr id="34" name="直接连接符 34"/>
                        <wps:cNvCnPr/>
                        <wps:spPr>
                          <a:xfrm>
                            <a:off x="10237" y="174268"/>
                            <a:ext cx="0" cy="624"/>
                          </a:xfrm>
                          <a:prstGeom prst="line">
                            <a:avLst/>
                          </a:prstGeom>
                          <a:ln w="9525" cap="flat" cmpd="sng">
                            <a:solidFill>
                              <a:srgbClr val="000000"/>
                            </a:solidFill>
                            <a:prstDash val="solid"/>
                            <a:headEnd type="none" w="med" len="med"/>
                            <a:tailEnd type="triangle" w="med" len="med"/>
                          </a:ln>
                        </wps:spPr>
                        <wps:bodyPr upright="1"/>
                      </wps:wsp>
                      <wps:wsp>
                        <wps:cNvPr id="40" name="直接箭头连接符 40"/>
                        <wps:cNvCnPr/>
                        <wps:spPr>
                          <a:xfrm>
                            <a:off x="9052" y="174022"/>
                            <a:ext cx="567" cy="15"/>
                          </a:xfrm>
                          <a:prstGeom prst="straightConnector1">
                            <a:avLst/>
                          </a:prstGeom>
                          <a:ln w="9525" cap="flat" cmpd="sng">
                            <a:solidFill>
                              <a:srgbClr val="000000"/>
                            </a:solidFill>
                            <a:prstDash val="solid"/>
                            <a:headEnd type="none" w="med" len="med"/>
                            <a:tailEnd type="triangle" w="med" len="med"/>
                          </a:ln>
                        </wps:spPr>
                        <wps:bodyPr/>
                      </wps:wsp>
                      <wps:wsp>
                        <wps:cNvPr id="57" name="直接连接符 57"/>
                        <wps:cNvCnPr/>
                        <wps:spPr>
                          <a:xfrm>
                            <a:off x="7474" y="174022"/>
                            <a:ext cx="567" cy="0"/>
                          </a:xfrm>
                          <a:prstGeom prst="line">
                            <a:avLst/>
                          </a:prstGeom>
                          <a:ln w="9525" cap="flat" cmpd="sng">
                            <a:solidFill>
                              <a:srgbClr val="000000"/>
                            </a:solidFill>
                            <a:prstDash val="solid"/>
                            <a:headEnd type="none" w="med" len="med"/>
                            <a:tailEnd type="triangle" w="med" len="med"/>
                          </a:ln>
                        </wps:spPr>
                        <wps:bodyPr upright="1"/>
                      </wps:wsp>
                      <wps:wsp>
                        <wps:cNvPr id="42" name="直接连接符 42"/>
                        <wps:cNvCnPr/>
                        <wps:spPr>
                          <a:xfrm>
                            <a:off x="6043" y="174037"/>
                            <a:ext cx="534" cy="0"/>
                          </a:xfrm>
                          <a:prstGeom prst="line">
                            <a:avLst/>
                          </a:prstGeom>
                          <a:ln w="9525" cap="flat" cmpd="sng">
                            <a:solidFill>
                              <a:srgbClr val="000000"/>
                            </a:solidFill>
                            <a:prstDash val="solid"/>
                            <a:headEnd type="none" w="med" len="med"/>
                            <a:tailEnd type="triangle" w="med" len="med"/>
                          </a:ln>
                        </wps:spPr>
                        <wps:bodyPr upright="1"/>
                      </wps:wsp>
                      <wps:wsp>
                        <wps:cNvPr id="58" name="直接连接符 58"/>
                        <wps:cNvCnPr/>
                        <wps:spPr>
                          <a:xfrm>
                            <a:off x="4603" y="174037"/>
                            <a:ext cx="540" cy="0"/>
                          </a:xfrm>
                          <a:prstGeom prst="line">
                            <a:avLst/>
                          </a:prstGeom>
                          <a:ln w="9525" cap="flat" cmpd="sng">
                            <a:solidFill>
                              <a:srgbClr val="000000"/>
                            </a:solidFill>
                            <a:prstDash val="solid"/>
                            <a:headEnd type="none" w="med" len="med"/>
                            <a:tailEnd type="triangle" w="med" len="med"/>
                          </a:ln>
                        </wps:spPr>
                        <wps:bodyPr upright="1"/>
                      </wps:wsp>
                      <wps:wsp>
                        <wps:cNvPr id="35" name="直接连接符 35"/>
                        <wps:cNvCnPr/>
                        <wps:spPr>
                          <a:xfrm>
                            <a:off x="2803" y="174022"/>
                            <a:ext cx="540" cy="0"/>
                          </a:xfrm>
                          <a:prstGeom prst="line">
                            <a:avLst/>
                          </a:prstGeom>
                          <a:ln w="9525" cap="flat" cmpd="sng">
                            <a:solidFill>
                              <a:srgbClr val="000000"/>
                            </a:solidFill>
                            <a:prstDash val="solid"/>
                            <a:headEnd type="none" w="med" len="med"/>
                            <a:tailEnd type="triangle" w="med" len="med"/>
                          </a:ln>
                        </wps:spPr>
                        <wps:bodyPr upright="1"/>
                      </wps:wsp>
                      <wps:wsp>
                        <wps:cNvPr id="36" name="文本框 36"/>
                        <wps:cNvSpPr txBox="1"/>
                        <wps:spPr>
                          <a:xfrm>
                            <a:off x="6952" y="174351"/>
                            <a:ext cx="729" cy="484"/>
                          </a:xfrm>
                          <a:prstGeom prst="rect">
                            <a:avLst/>
                          </a:prstGeom>
                          <a:noFill/>
                          <a:ln>
                            <a:noFill/>
                          </a:ln>
                        </wps:spPr>
                        <wps:txbx>
                          <w:txbxContent>
                            <w:p>
                              <w:r>
                                <w:rPr>
                                  <w:rFonts w:hint="eastAsia"/>
                                </w:rPr>
                                <w:t>输出</w:t>
                              </w:r>
                            </w:p>
                          </w:txbxContent>
                        </wps:txbx>
                        <wps:bodyPr upright="1"/>
                      </wps:wsp>
                      <wps:wsp>
                        <wps:cNvPr id="33" name="矩形 33"/>
                        <wps:cNvSpPr/>
                        <wps:spPr>
                          <a:xfrm>
                            <a:off x="6388" y="174835"/>
                            <a:ext cx="1374" cy="471"/>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公路发油泵</w:t>
                              </w:r>
                            </w:p>
                          </w:txbxContent>
                        </wps:txbx>
                        <wps:bodyPr upright="1"/>
                      </wps:wsp>
                      <wps:wsp>
                        <wps:cNvPr id="41" name="文本框 41"/>
                        <wps:cNvSpPr txBox="1"/>
                        <wps:spPr>
                          <a:xfrm>
                            <a:off x="9253" y="174984"/>
                            <a:ext cx="1899" cy="468"/>
                          </a:xfrm>
                          <a:prstGeom prst="rect">
                            <a:avLst/>
                          </a:prstGeom>
                          <a:noFill/>
                          <a:ln>
                            <a:noFill/>
                          </a:ln>
                        </wps:spPr>
                        <wps:txbx>
                          <w:txbxContent>
                            <w:p>
                              <w:pPr>
                                <w:rPr>
                                  <w:rFonts w:hint="eastAsia"/>
                                </w:rPr>
                              </w:pPr>
                              <w:r>
                                <w:rPr>
                                  <w:rFonts w:hint="eastAsia"/>
                                </w:rPr>
                                <w:t>九昌樟长输管道</w:t>
                              </w:r>
                            </w:p>
                          </w:txbxContent>
                        </wps:txbx>
                        <wps:bodyPr upright="1"/>
                      </wps:wsp>
                      <wps:wsp>
                        <wps:cNvPr id="49" name="直接箭头连接符 49"/>
                        <wps:cNvCnPr/>
                        <wps:spPr>
                          <a:xfrm>
                            <a:off x="7042" y="175306"/>
                            <a:ext cx="0" cy="567"/>
                          </a:xfrm>
                          <a:prstGeom prst="straightConnector1">
                            <a:avLst/>
                          </a:prstGeom>
                          <a:ln w="9525" cap="flat" cmpd="sng">
                            <a:solidFill>
                              <a:srgbClr val="000000"/>
                            </a:solidFill>
                            <a:prstDash val="solid"/>
                            <a:headEnd type="none" w="med" len="med"/>
                            <a:tailEnd type="triangle" w="med" len="med"/>
                          </a:ln>
                        </wps:spPr>
                        <wps:bodyPr/>
                      </wps:wsp>
                      <wps:wsp>
                        <wps:cNvPr id="50" name="矩形 50"/>
                        <wps:cNvSpPr/>
                        <wps:spPr>
                          <a:xfrm>
                            <a:off x="6223" y="175873"/>
                            <a:ext cx="1653" cy="4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公路发油鹤管</w:t>
                              </w:r>
                            </w:p>
                          </w:txbxContent>
                        </wps:txbx>
                        <wps:bodyPr upright="1"/>
                      </wps:wsp>
                      <wps:wsp>
                        <wps:cNvPr id="47" name="直接箭头连接符 47"/>
                        <wps:cNvCnPr/>
                        <wps:spPr>
                          <a:xfrm>
                            <a:off x="7042" y="176344"/>
                            <a:ext cx="0" cy="567"/>
                          </a:xfrm>
                          <a:prstGeom prst="straightConnector1">
                            <a:avLst/>
                          </a:prstGeom>
                          <a:ln w="9525" cap="flat" cmpd="sng">
                            <a:solidFill>
                              <a:srgbClr val="000000"/>
                            </a:solidFill>
                            <a:prstDash val="solid"/>
                            <a:headEnd type="none" w="med" len="med"/>
                            <a:tailEnd type="triangle" w="med" len="med"/>
                          </a:ln>
                        </wps:spPr>
                        <wps:bodyPr/>
                      </wps:wsp>
                      <wps:wsp>
                        <wps:cNvPr id="45" name="矩形 45"/>
                        <wps:cNvSpPr/>
                        <wps:spPr>
                          <a:xfrm>
                            <a:off x="6388" y="176856"/>
                            <a:ext cx="1488" cy="500"/>
                          </a:xfrm>
                          <a:prstGeom prst="rect">
                            <a:avLst/>
                          </a:prstGeom>
                          <a:noFill/>
                          <a:ln>
                            <a:noFill/>
                          </a:ln>
                        </wps:spPr>
                        <wps:txbx>
                          <w:txbxContent>
                            <w:p>
                              <w:r>
                                <w:rPr>
                                  <w:rFonts w:hint="eastAsia"/>
                                </w:rPr>
                                <w:t>汽车油罐车</w:t>
                              </w:r>
                            </w:p>
                          </w:txbxContent>
                        </wps:txbx>
                        <wps:bodyPr upright="1"/>
                      </wps:wsp>
                    </wpg:wgp>
                  </a:graphicData>
                </a:graphic>
              </wp:anchor>
            </w:drawing>
          </mc:Choice>
          <mc:Fallback>
            <w:pict>
              <v:group id="_x0000_s1026" o:spid="_x0000_s1026" o:spt="203" style="position:absolute;left:0pt;margin-left:-9pt;margin-top:1.75pt;height:219.4pt;width:462.4pt;z-index:251660288;mso-width-relative:page;mso-height-relative:page;" coordorigin="1903,172968" coordsize="9248,4388" o:gfxdata="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">
                <o:lock v:ext="edit" aspectratio="f"/>
                <v:rect id="_x0000_s1026" o:spid="_x0000_s1026" o:spt="1" style="position:absolute;left:4903;top:172968;height:471;width:901;" fillcolor="#FFFFFF" filled="t" stroked="t" coordsize="21600,21600" o:gfxdata="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E+ts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计量</w:t>
                        </w:r>
                      </w:p>
                    </w:txbxContent>
                  </v:textbox>
                </v:rect>
                <v:shape id="_x0000_s1026" o:spid="_x0000_s1026" o:spt="202" type="#_x0000_t202" style="position:absolute;left:6952;top:173286;height:655;width:924;" filled="f" stroked="f" coordsize="21600,21600" o:gfxdata="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w1pC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r>
                          <w:rPr>
                            <w:rFonts w:hint="eastAsia"/>
                          </w:rPr>
                          <w:t>输入</w:t>
                        </w:r>
                      </w:p>
                    </w:txbxContent>
                  </v:textbox>
                </v:shape>
                <v:shape id="_x0000_s1026" o:spid="_x0000_s1026" o:spt="32" type="#_x0000_t32" style="position:absolute;left:5825;top:173139;height:0;width:1217;" filled="f" stroked="t" coordsize="21600,21600" o:gfxdata="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h1JP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7042;top:173139;height:646;width:0;" filled="f" stroked="t" coordsize="21600,21600" o:gfxdata="UEsDBAoAAAAAAIdO4kAAAAAAAAAAAAAAAAAEAAAAZHJzL1BLAwQUAAAACACHTuJAO3UQAb4AAADb&#10;AAAADwAAAGRycy9kb3ducmV2LnhtbEWPT2sCMRTE7wW/Q3hCbzW7FpZ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UQA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line id="_x0000_s1026" o:spid="_x0000_s1026" o:spt="20" style="position:absolute;left:4384;top:173139;height:0;width:540;" filled="f" stroked="t" coordsize="21600,21600" o:gfxdata="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ITcG/&#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7378;top:173661;height:562;width:849;" filled="f" stroked="f" coordsize="21600,21600" o:gfxdata="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rpyu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r>
                          <w:rPr>
                            <w:rFonts w:hint="eastAsia"/>
                          </w:rPr>
                          <w:t>输出</w:t>
                        </w:r>
                      </w:p>
                    </w:txbxContent>
                  </v:textbox>
                </v:shape>
                <v:shape id="_x0000_s1026" o:spid="_x0000_s1026" o:spt="202" type="#_x0000_t202" style="position:absolute;left:5945;top:173706;height:645;width:803;" filled="f" stroked="f" coordsize="21600,21600" o:gfxdata="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C6FB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r>
                          <w:rPr>
                            <w:rFonts w:hint="eastAsia"/>
                          </w:rPr>
                          <w:t>输入</w:t>
                        </w:r>
                      </w:p>
                    </w:txbxContent>
                  </v:textbox>
                </v:shape>
                <v:shape id="_x0000_s1026" o:spid="_x0000_s1026" o:spt="202" type="#_x0000_t202" style="position:absolute;left:9643;top:173800;height:468;width:1080;" fillcolor="#FFFFFF" filled="t" stroked="t" coordsize="21600,21600" o:gfxdata="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gfzC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eastAsia"/>
                          </w:rPr>
                        </w:pPr>
                        <w:r>
                          <w:rPr>
                            <w:rFonts w:hint="eastAsia"/>
                          </w:rPr>
                          <w:t>主输泵</w:t>
                        </w:r>
                      </w:p>
                    </w:txbxContent>
                  </v:textbox>
                </v:shape>
                <v:shape id="_x0000_s1026" o:spid="_x0000_s1026" o:spt="202" type="#_x0000_t202" style="position:absolute;left:8032;top:173785;height:468;width:1020;" fillcolor="#FFFFFF" filled="t" stroked="t" coordsize="21600,21600" o:gfxdata="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LDg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rPr>
                        </w:pPr>
                        <w:r>
                          <w:rPr>
                            <w:rFonts w:hint="eastAsia"/>
                          </w:rPr>
                          <w:t>给油泵</w:t>
                        </w:r>
                      </w:p>
                    </w:txbxContent>
                  </v:textbox>
                </v:shape>
                <v:shape id="_x0000_s1026" o:spid="_x0000_s1026" o:spt="202" type="#_x0000_t202" style="position:absolute;left:6583;top:173800;height:468;width:900;" fillcolor="#FFFFFF" filled="t" stroked="t" coordsize="21600,21600" o:gfxdata="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sF31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105" w:firstLineChars="50"/>
                          <w:rPr>
                            <w:rFonts w:hint="eastAsia"/>
                          </w:rPr>
                        </w:pPr>
                        <w:r>
                          <w:rPr>
                            <w:rFonts w:hint="eastAsia"/>
                          </w:rPr>
                          <w:t>储罐</w:t>
                        </w:r>
                      </w:p>
                    </w:txbxContent>
                  </v:textbox>
                </v:shape>
                <v:shape id="_x0000_s1026" o:spid="_x0000_s1026" o:spt="202" type="#_x0000_t202" style="position:absolute;left:1903;top:173623;height:468;width:1440;" filled="f" stroked="f" coordsize="21600,21600" o:gfxdata="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OF6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hAnsi="宋体"/>
                            <w:szCs w:val="21"/>
                          </w:rPr>
                        </w:pPr>
                        <w:r>
                          <w:rPr>
                            <w:rFonts w:hint="eastAsia" w:hAnsi="宋体"/>
                            <w:szCs w:val="21"/>
                          </w:rPr>
                          <w:t>船运来产品</w:t>
                        </w:r>
                      </w:p>
                    </w:txbxContent>
                  </v:textbox>
                </v:shape>
                <v:line id="_x0000_s1026" o:spid="_x0000_s1026" o:spt="20" style="position:absolute;left:4243;top:173941;height:0;width:1;" filled="f" stroked="t" coordsize="21600,21600" o:gfxdata="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7l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5143;top:173785;height:468;width:900;" fillcolor="#FFFFFF" filled="t" stroked="t" coordsize="21600,21600" o:gfxdata="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VgG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rPr>
                        </w:pPr>
                        <w:r>
                          <w:rPr>
                            <w:rFonts w:hint="eastAsia"/>
                          </w:rPr>
                          <w:t>计量</w:t>
                        </w:r>
                      </w:p>
                    </w:txbxContent>
                  </v:textbox>
                </v:shape>
                <v:shape id="_x0000_s1026" o:spid="_x0000_s1026" o:spt="202" type="#_x0000_t202" style="position:absolute;left:3343;top:173785;height:468;width:1260;" fillcolor="#FFFFFF" filled="t" stroked="t" coordsize="21600,21600" o:gfxdata="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gbz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rPr>
                        </w:pPr>
                        <w:r>
                          <w:rPr>
                            <w:rFonts w:hint="eastAsia"/>
                          </w:rPr>
                          <w:t>码头泵站</w:t>
                        </w:r>
                      </w:p>
                    </w:txbxContent>
                  </v:textbox>
                </v:shape>
                <v:shape id="_x0000_s1026" o:spid="_x0000_s1026" o:spt="32" type="#_x0000_t32" style="position:absolute;left:7042;top:174268;height:567;width:0;" filled="f" stroked="t" coordsize="21600,21600" o:gfxdata="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TA5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line id="_x0000_s1026" o:spid="_x0000_s1026" o:spt="20" style="position:absolute;left:10237;top:174268;height:624;width:0;" filled="f" stroked="t" coordsize="21600,21600" o:gfxdata="UEsDBAoAAAAAAIdO4kAAAAAAAAAAAAAAAAAEAAAAZHJzL1BLAwQUAAAACACHTuJAXSemyL8AAADb&#10;AAAADwAAAGRycy9kb3ducmV2LnhtbEWPT2vCQBTE7wW/w/KE3uomtki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nps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32" type="#_x0000_t32" style="position:absolute;left:9052;top:174022;height:15;width:567;" filled="f" stroked="t" coordsize="21600,21600" o:gfxdata="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D/G5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line id="_x0000_s1026" o:spid="_x0000_s1026" o:spt="20" style="position:absolute;left:7474;top:174022;height:0;width:567;" filled="f" stroked="t" coordsize="21600,21600" o:gfxdata="UEsDBAoAAAAAAIdO4kAAAAAAAAAAAAAAAAAEAAAAZHJzL1BLAwQUAAAACACHTuJAcCrdH78AAADb&#10;AAAADwAAAGRycy9kb3ducmV2LnhtbEWPT2vCQBTE7wW/w/KE3uomQmuI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q3R+/&#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043;top:174037;height:0;width:534;" filled="f" stroked="t" coordsize="21600,21600" o:gfxdata="UEsDBAoAAAAAAIdO4kAAAAAAAAAAAAAAAAAEAAAAZHJzL1BLAwQUAAAACACHTuJA5YToWr8AAADb&#10;AAAADwAAAGRycy9kb3ducmV2LnhtbEWPT2vCQBTE7wW/w/IEb3UTk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E6Fq/&#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603;top:174037;height:0;width:540;" filled="f" stroked="t" coordsize="21600,21600" o:gfxdata="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bVJb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2803;top:174022;height:0;width:540;" filled="f" stroked="t" coordsize="21600,21600" o:gfxdata="UEsDBAoAAAAAAIdO4kAAAAAAAAAAAAAAAAAEAAAAZHJzL1BLAwQUAAAACACHTuJAMmsDU78AAADb&#10;AAAADwAAAGRycy9kb3ducmV2LnhtbEWPT2vCQBTE7wW/w/KE3uomlkq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rA1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6952;top:174351;height:484;width:729;" filled="f" stroked="f" coordsize="21600,21600" o:gfxdata="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j53m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r>
                          <w:rPr>
                            <w:rFonts w:hint="eastAsia"/>
                          </w:rPr>
                          <w:t>输出</w:t>
                        </w:r>
                      </w:p>
                    </w:txbxContent>
                  </v:textbox>
                </v:shape>
                <v:rect id="_x0000_s1026" o:spid="_x0000_s1026" o:spt="1" style="position:absolute;left:6388;top:174835;height:471;width:1374;" fillcolor="#FFFFFF" filled="t" stroked="t" coordsize="21600,21600" o:gfxdata="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73I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公路发油泵</w:t>
                        </w:r>
                      </w:p>
                    </w:txbxContent>
                  </v:textbox>
                </v:rect>
                <v:shape id="_x0000_s1026" o:spid="_x0000_s1026" o:spt="202" type="#_x0000_t202" style="position:absolute;left:9253;top:174984;height:468;width:1899;" filled="f" stroked="f" coordsize="21600,21600" o:gfxdata="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Ax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rPr>
                        </w:pPr>
                        <w:r>
                          <w:rPr>
                            <w:rFonts w:hint="eastAsia"/>
                          </w:rPr>
                          <w:t>九昌樟长输管道</w:t>
                        </w:r>
                      </w:p>
                    </w:txbxContent>
                  </v:textbox>
                </v:shape>
                <v:shape id="_x0000_s1026" o:spid="_x0000_s1026" o:spt="32" type="#_x0000_t32" style="position:absolute;left:7042;top:175306;height:567;width:0;" filled="f" stroked="t" coordsize="21600,21600" o:gfxdata="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QVve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6223;top:175873;height:471;width:1653;" fillcolor="#FFFFFF" filled="t" stroked="t" coordsize="21600,21600" o:gfxdata="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9qdR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公路发油鹤管</w:t>
                        </w:r>
                      </w:p>
                    </w:txbxContent>
                  </v:textbox>
                </v:rect>
                <v:shape id="_x0000_s1026" o:spid="_x0000_s1026" o:spt="32" type="#_x0000_t32" style="position:absolute;left:7042;top:176344;height:567;width:0;" filled="f" stroked="t" coordsize="21600,21600" o:gfxdata="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Zek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6388;top:176856;height:500;width:1488;" filled="f" stroked="f" coordsize="21600,21600" o:gfxdata="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sol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r>
                          <w:rPr>
                            <w:rFonts w:hint="eastAsia"/>
                          </w:rPr>
                          <w:t>汽车油罐车</w:t>
                        </w:r>
                      </w:p>
                    </w:txbxContent>
                  </v:textbox>
                </v:rect>
              </v:group>
            </w:pict>
          </mc:Fallback>
        </mc:AlternateContent>
      </w:r>
      <w:r>
        <w:rPr>
          <w:rFonts w:hint="eastAsia" w:hAnsi="宋体"/>
          <w:szCs w:val="21"/>
        </w:rPr>
        <w:t>九炼成品油泵房</w:t>
      </w:r>
    </w:p>
    <w:p>
      <w:pPr>
        <w:spacing w:line="360" w:lineRule="auto"/>
        <w:ind w:firstLine="360" w:firstLineChars="150"/>
        <w:rPr>
          <w:rFonts w:hint="eastAsia" w:hAnsi="宋体"/>
          <w:sz w:val="24"/>
        </w:rPr>
      </w:pPr>
    </w:p>
    <w:p>
      <w:pPr>
        <w:spacing w:line="360" w:lineRule="auto"/>
        <w:ind w:firstLine="360" w:firstLineChars="150"/>
        <w:rPr>
          <w:rFonts w:hint="eastAsia" w:hAnsi="宋体"/>
          <w:sz w:val="24"/>
        </w:rPr>
      </w:pPr>
    </w:p>
    <w:p>
      <w:pPr>
        <w:spacing w:line="360" w:lineRule="auto"/>
        <w:ind w:firstLine="360" w:firstLineChars="150"/>
        <w:rPr>
          <w:rFonts w:hint="eastAsia" w:hAnsi="宋体"/>
          <w:sz w:val="24"/>
        </w:rPr>
      </w:pPr>
    </w:p>
    <w:p>
      <w:pPr>
        <w:spacing w:line="360" w:lineRule="auto"/>
        <w:ind w:firstLine="360" w:firstLineChars="150"/>
        <w:rPr>
          <w:rFonts w:hint="eastAsia" w:hAnsi="宋体"/>
          <w:sz w:val="24"/>
        </w:rPr>
      </w:pPr>
    </w:p>
    <w:p>
      <w:pPr>
        <w:spacing w:line="360" w:lineRule="auto"/>
        <w:ind w:firstLine="360" w:firstLineChars="150"/>
        <w:rPr>
          <w:rFonts w:hint="eastAsia" w:hAnsi="宋体"/>
          <w:sz w:val="24"/>
        </w:rPr>
      </w:pPr>
    </w:p>
    <w:p>
      <w:pPr>
        <w:spacing w:line="360" w:lineRule="auto"/>
        <w:ind w:firstLine="360" w:firstLineChars="150"/>
        <w:rPr>
          <w:rFonts w:hint="eastAsia" w:hAnsi="宋体"/>
          <w:sz w:val="24"/>
        </w:rPr>
      </w:pPr>
    </w:p>
    <w:p>
      <w:pPr>
        <w:spacing w:line="360" w:lineRule="auto"/>
        <w:ind w:firstLine="360" w:firstLineChars="150"/>
        <w:rPr>
          <w:rFonts w:hint="eastAsia" w:hAnsi="宋体"/>
          <w:sz w:val="24"/>
        </w:rPr>
      </w:pPr>
    </w:p>
    <w:p>
      <w:pPr>
        <w:spacing w:line="360" w:lineRule="auto"/>
        <w:ind w:firstLine="360" w:firstLineChars="150"/>
        <w:rPr>
          <w:rFonts w:hint="eastAsia" w:hAnsi="宋体"/>
          <w:sz w:val="24"/>
        </w:rPr>
      </w:pPr>
    </w:p>
    <w:p>
      <w:pPr>
        <w:pStyle w:val="29"/>
        <w:spacing w:after="156"/>
        <w:rPr>
          <w:rFonts w:hint="eastAsia" w:ascii="Times New Roman" w:hAnsi="Times New Roman" w:eastAsia="宋体" w:cs="Times New Roman"/>
          <w:b/>
          <w:bCs/>
          <w:sz w:val="24"/>
          <w:szCs w:val="24"/>
          <w:highlight w:val="none"/>
          <w:lang w:eastAsia="zh-CN"/>
        </w:rPr>
      </w:pPr>
      <w:r>
        <w:rPr>
          <w:rFonts w:hint="default" w:ascii="Times New Roman" w:hAnsi="Times New Roman" w:eastAsia="宋体" w:cs="Times New Roman"/>
          <w:b/>
          <w:bCs/>
          <w:sz w:val="24"/>
          <w:szCs w:val="24"/>
          <w:highlight w:val="none"/>
        </w:rPr>
        <w:t>图</w:t>
      </w:r>
      <w:r>
        <w:rPr>
          <w:rFonts w:hint="eastAsia" w:eastAsia="宋体" w:cs="Times New Roman"/>
          <w:b/>
          <w:bCs/>
          <w:sz w:val="24"/>
          <w:szCs w:val="24"/>
          <w:highlight w:val="none"/>
          <w:lang w:val="en-US" w:eastAsia="zh-CN"/>
        </w:rPr>
        <w:t>3.1-1</w:t>
      </w:r>
      <w:r>
        <w:rPr>
          <w:rFonts w:hint="default" w:ascii="Times New Roman" w:hAnsi="Times New Roman" w:eastAsia="宋体" w:cs="Times New Roman"/>
          <w:b/>
          <w:bCs/>
          <w:sz w:val="24"/>
          <w:szCs w:val="24"/>
          <w:highlight w:val="none"/>
        </w:rPr>
        <w:t xml:space="preserve">  九江油库</w:t>
      </w:r>
      <w:r>
        <w:rPr>
          <w:rFonts w:hint="eastAsia" w:ascii="Times New Roman" w:hAnsi="Times New Roman" w:eastAsia="宋体" w:cs="Times New Roman"/>
          <w:b/>
          <w:bCs/>
          <w:sz w:val="24"/>
          <w:szCs w:val="24"/>
          <w:highlight w:val="none"/>
          <w:lang w:eastAsia="zh-CN"/>
        </w:rPr>
        <w:t>主要</w:t>
      </w:r>
      <w:r>
        <w:rPr>
          <w:rFonts w:hint="default" w:ascii="Times New Roman" w:hAnsi="Times New Roman" w:eastAsia="宋体" w:cs="Times New Roman"/>
          <w:b/>
          <w:bCs/>
          <w:sz w:val="24"/>
          <w:szCs w:val="24"/>
          <w:highlight w:val="none"/>
        </w:rPr>
        <w:t>工艺流程图</w:t>
      </w:r>
    </w:p>
    <w:p>
      <w:pPr>
        <w:pStyle w:val="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rPr>
      </w:pP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19"/>
        <w:jc w:val="center"/>
        <w:rPr>
          <w:rFonts w:hint="default" w:ascii="Times New Roman" w:hAnsi="Times New Roman" w:eastAsia="宋体" w:cs="Times New Roman"/>
          <w:color w:val="FF0000"/>
          <w:highlight w:val="none"/>
        </w:rPr>
      </w:pPr>
      <w:r>
        <w:rPr>
          <w:rFonts w:hint="default" w:ascii="Times New Roman" w:hAnsi="Times New Roman" w:eastAsia="宋体" w:cs="Times New Roman"/>
          <w:color w:val="FF0000"/>
          <w:highlight w:val="none"/>
        </w:rPr>
        <w:drawing>
          <wp:inline distT="0" distB="0" distL="114300" distR="114300">
            <wp:extent cx="7893685" cy="4857750"/>
            <wp:effectExtent l="0" t="0" r="12065" b="0"/>
            <wp:docPr id="2" name="图片 1" descr="九江库站输油站工艺流程图（195-120cm)车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九江库站输油站工艺流程图（195-120cm)车贴"/>
                    <pic:cNvPicPr>
                      <a:picLocks noChangeAspect="1"/>
                    </pic:cNvPicPr>
                  </pic:nvPicPr>
                  <pic:blipFill>
                    <a:blip r:embed="rId6"/>
                    <a:stretch>
                      <a:fillRect/>
                    </a:stretch>
                  </pic:blipFill>
                  <pic:spPr>
                    <a:xfrm>
                      <a:off x="0" y="0"/>
                      <a:ext cx="7893685" cy="4857750"/>
                    </a:xfrm>
                    <a:prstGeom prst="rect">
                      <a:avLst/>
                    </a:prstGeom>
                    <a:noFill/>
                    <a:ln>
                      <a:noFill/>
                    </a:ln>
                  </pic:spPr>
                </pic:pic>
              </a:graphicData>
            </a:graphic>
          </wp:inline>
        </w:drawing>
      </w:r>
    </w:p>
    <w:p>
      <w:pPr>
        <w:pStyle w:val="29"/>
        <w:spacing w:after="156"/>
        <w:rPr>
          <w:rFonts w:hint="eastAsia" w:ascii="Times New Roman" w:hAnsi="Times New Roman" w:eastAsia="宋体" w:cs="Times New Roman"/>
          <w:b/>
          <w:bCs/>
          <w:sz w:val="24"/>
          <w:szCs w:val="24"/>
          <w:highlight w:val="none"/>
          <w:lang w:eastAsia="zh-CN"/>
        </w:rPr>
      </w:pPr>
      <w:r>
        <w:rPr>
          <w:rFonts w:hint="default" w:ascii="Times New Roman" w:hAnsi="Times New Roman" w:eastAsia="宋体" w:cs="Times New Roman"/>
          <w:b/>
          <w:bCs/>
          <w:sz w:val="24"/>
          <w:szCs w:val="24"/>
          <w:highlight w:val="none"/>
        </w:rPr>
        <w:t>图</w:t>
      </w:r>
      <w:r>
        <w:rPr>
          <w:rFonts w:hint="eastAsia" w:eastAsia="宋体" w:cs="Times New Roman"/>
          <w:b/>
          <w:bCs/>
          <w:sz w:val="24"/>
          <w:szCs w:val="24"/>
          <w:highlight w:val="none"/>
          <w:lang w:val="en-US" w:eastAsia="zh-CN"/>
        </w:rPr>
        <w:t>3.1-2</w:t>
      </w:r>
      <w:r>
        <w:rPr>
          <w:rFonts w:hint="default" w:ascii="Times New Roman" w:hAnsi="Times New Roman" w:eastAsia="宋体" w:cs="Times New Roman"/>
          <w:b/>
          <w:bCs/>
          <w:sz w:val="24"/>
          <w:szCs w:val="24"/>
          <w:highlight w:val="none"/>
        </w:rPr>
        <w:t xml:space="preserve">  九江油库</w:t>
      </w:r>
      <w:r>
        <w:rPr>
          <w:rFonts w:hint="eastAsia" w:eastAsia="宋体" w:cs="Times New Roman"/>
          <w:b/>
          <w:bCs/>
          <w:sz w:val="24"/>
          <w:szCs w:val="24"/>
          <w:highlight w:val="none"/>
          <w:lang w:eastAsia="zh-CN"/>
        </w:rPr>
        <w:t>（二库）</w:t>
      </w:r>
      <w:r>
        <w:rPr>
          <w:rFonts w:hint="default" w:ascii="Times New Roman" w:hAnsi="Times New Roman" w:eastAsia="宋体" w:cs="Times New Roman"/>
          <w:b/>
          <w:bCs/>
          <w:sz w:val="24"/>
          <w:szCs w:val="24"/>
          <w:highlight w:val="none"/>
        </w:rPr>
        <w:t>工艺流程图</w:t>
      </w:r>
    </w:p>
    <w:p>
      <w:pPr>
        <w:pStyle w:val="29"/>
        <w:spacing w:after="156"/>
        <w:rPr>
          <w:rFonts w:hint="default" w:ascii="Times New Roman" w:hAnsi="Times New Roman" w:eastAsia="宋体" w:cs="Times New Roman"/>
          <w:b/>
          <w:bCs/>
          <w:sz w:val="24"/>
          <w:szCs w:val="24"/>
          <w:highlight w:val="yellow"/>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pPr>
        <w:pStyle w:val="22"/>
        <w:keepNext w:val="0"/>
        <w:keepLines w:val="0"/>
        <w:pageBreakBefore w:val="0"/>
        <w:widowControl w:val="0"/>
        <w:kinsoku/>
        <w:wordWrap/>
        <w:overflowPunct/>
        <w:topLinePunct w:val="0"/>
        <w:autoSpaceDE/>
        <w:autoSpaceDN/>
        <w:bidi w:val="0"/>
        <w:adjustRightInd/>
        <w:snapToGrid/>
        <w:spacing w:before="0" w:beforeLines="0" w:after="0" w:afterLines="0"/>
        <w:textAlignment w:val="auto"/>
        <w:outlineLvl w:val="1"/>
        <w:rPr>
          <w:rFonts w:hint="eastAsia" w:ascii="Times New Roman" w:hAnsi="Times New Roman" w:eastAsia="宋体" w:cs="Times New Roman"/>
          <w:lang w:val="en-US" w:eastAsia="zh-CN"/>
        </w:rPr>
      </w:pPr>
      <w:bookmarkStart w:id="27" w:name="_Toc16489"/>
      <w:r>
        <w:rPr>
          <w:rFonts w:hint="eastAsia" w:ascii="Times New Roman" w:hAnsi="Times New Roman" w:eastAsia="宋体" w:cs="Times New Roman"/>
          <w:lang w:val="en-US" w:eastAsia="zh-CN"/>
        </w:rPr>
        <w:t>3.1</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5本</w:t>
      </w:r>
      <w:r>
        <w:rPr>
          <w:rFonts w:hint="eastAsia" w:eastAsia="宋体" w:cs="Times New Roman"/>
          <w:lang w:val="en-US" w:eastAsia="zh-CN"/>
        </w:rPr>
        <w:t>项目</w:t>
      </w:r>
      <w:r>
        <w:rPr>
          <w:rFonts w:hint="eastAsia" w:ascii="Times New Roman" w:hAnsi="Times New Roman" w:eastAsia="宋体" w:cs="Times New Roman"/>
          <w:lang w:val="en-US" w:eastAsia="zh-CN"/>
        </w:rPr>
        <w:t>污染物产生及处理情况</w:t>
      </w:r>
      <w:bookmarkEnd w:id="2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2"/>
        <w:rPr>
          <w:rFonts w:hint="default" w:ascii="Times New Roman" w:hAnsi="Times New Roman" w:cs="Times New Roman"/>
          <w:b w:val="0"/>
          <w:bCs w:val="0"/>
          <w:sz w:val="24"/>
          <w:szCs w:val="24"/>
          <w:highlight w:val="none"/>
          <w:lang w:val="en-US" w:eastAsia="zh-CN"/>
        </w:rPr>
      </w:pPr>
      <w:bookmarkStart w:id="28" w:name="_Toc16880"/>
      <w:r>
        <w:rPr>
          <w:rFonts w:hint="default" w:ascii="Times New Roman" w:hAnsi="Times New Roman" w:cs="Times New Roman"/>
          <w:b w:val="0"/>
          <w:bCs w:val="0"/>
          <w:sz w:val="24"/>
          <w:szCs w:val="24"/>
          <w:highlight w:val="none"/>
          <w:lang w:val="en-US" w:eastAsia="zh-CN"/>
        </w:rPr>
        <w:t>1、废气污染源及处理措施</w:t>
      </w:r>
      <w:bookmarkEnd w:id="28"/>
    </w:p>
    <w:p>
      <w:pPr>
        <w:pStyle w:val="1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outlineLvl w:val="9"/>
        <w:rPr>
          <w:rFonts w:hint="default" w:ascii="Times New Roman" w:hAnsi="Times New Roman" w:cs="Times New Roman"/>
          <w:b w:val="0"/>
          <w:bCs w:val="0"/>
          <w:sz w:val="24"/>
          <w:szCs w:val="24"/>
          <w:highlight w:val="none"/>
          <w:lang w:val="en-US" w:eastAsia="zh-CN"/>
        </w:rPr>
      </w:pPr>
      <w:r>
        <w:rPr>
          <w:rFonts w:hint="default" w:ascii="Times New Roman" w:hAnsi="Times New Roman" w:cs="Times New Roman"/>
          <w:b w:val="0"/>
          <w:bCs w:val="0"/>
          <w:sz w:val="24"/>
          <w:szCs w:val="24"/>
          <w:highlight w:val="none"/>
          <w:lang w:val="en-US" w:eastAsia="zh-CN"/>
        </w:rPr>
        <w:t>来源于储罐的大小呼吸和装卸过程中的泄漏、各装置阀门、管线、泵等运行跑、冒、滴、漏的逸散到大气中的废气，主要污染物是非甲烷总烃，为无组织排放源</w:t>
      </w:r>
      <w:r>
        <w:rPr>
          <w:rFonts w:hint="eastAsia" w:ascii="Times New Roman" w:hAnsi="Times New Roman" w:cs="Times New Roman"/>
          <w:b w:val="0"/>
          <w:bCs w:val="0"/>
          <w:sz w:val="24"/>
          <w:szCs w:val="24"/>
          <w:highlight w:val="none"/>
          <w:lang w:val="en-US" w:eastAsia="zh-CN"/>
        </w:rPr>
        <w:t>。</w:t>
      </w:r>
      <w:r>
        <w:rPr>
          <w:rFonts w:hAnsi="宋体"/>
          <w:b w:val="0"/>
          <w:bCs w:val="0"/>
          <w:sz w:val="24"/>
          <w:szCs w:val="24"/>
          <w:highlight w:val="none"/>
        </w:rPr>
        <w:t>内浮顶罐设有固定顶，罐内储液上方配置浮顶。有两种基本类型：焊接浮舱和螺栓联接浮舱。为减少在浮顶和固定顶之间形成的可燃性油气与空气的混合物，在罐壁顶或固定顶上设通气口，以便在该空间形成自然通风。</w:t>
      </w:r>
    </w:p>
    <w:p>
      <w:pPr>
        <w:pStyle w:val="1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outlineLvl w:val="2"/>
        <w:rPr>
          <w:rFonts w:hint="default" w:ascii="Times New Roman" w:hAnsi="Times New Roman" w:cs="Times New Roman"/>
          <w:b w:val="0"/>
          <w:bCs w:val="0"/>
          <w:sz w:val="24"/>
          <w:szCs w:val="24"/>
          <w:highlight w:val="none"/>
          <w:lang w:val="en-US" w:eastAsia="zh-CN"/>
        </w:rPr>
      </w:pPr>
      <w:bookmarkStart w:id="29" w:name="_Toc11848"/>
      <w:r>
        <w:rPr>
          <w:rFonts w:hint="default" w:ascii="Times New Roman" w:hAnsi="Times New Roman" w:cs="Times New Roman"/>
          <w:b w:val="0"/>
          <w:bCs w:val="0"/>
          <w:sz w:val="24"/>
          <w:szCs w:val="24"/>
          <w:highlight w:val="none"/>
          <w:lang w:val="en-US" w:eastAsia="zh-CN"/>
        </w:rPr>
        <w:t>2、废水污染源及处理措施</w:t>
      </w:r>
      <w:bookmarkEnd w:id="29"/>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outlineLvl w:val="9"/>
        <w:rPr>
          <w:rFonts w:hint="eastAsia" w:ascii="宋体" w:hAnsi="宋体"/>
          <w:b w:val="0"/>
          <w:bCs w:val="0"/>
          <w:color w:val="000000"/>
          <w:sz w:val="24"/>
          <w:szCs w:val="24"/>
        </w:rPr>
      </w:pPr>
      <w:r>
        <w:rPr>
          <w:rFonts w:hint="eastAsia" w:ascii="宋体" w:hAnsi="宋体"/>
          <w:b w:val="0"/>
          <w:bCs w:val="0"/>
          <w:color w:val="000000"/>
          <w:sz w:val="24"/>
          <w:szCs w:val="24"/>
        </w:rPr>
        <w:t>项目废水主要是</w:t>
      </w:r>
      <w:r>
        <w:rPr>
          <w:rFonts w:hint="eastAsia" w:ascii="宋体" w:hAnsi="宋体"/>
          <w:b w:val="0"/>
          <w:bCs w:val="0"/>
          <w:color w:val="000000"/>
          <w:sz w:val="24"/>
          <w:szCs w:val="24"/>
          <w:lang w:eastAsia="zh-CN"/>
        </w:rPr>
        <w:t>罐区</w:t>
      </w:r>
      <w:r>
        <w:rPr>
          <w:rFonts w:hint="eastAsia" w:ascii="宋体" w:hAnsi="宋体"/>
          <w:b w:val="0"/>
          <w:bCs w:val="0"/>
          <w:color w:val="000000"/>
          <w:sz w:val="24"/>
          <w:szCs w:val="24"/>
        </w:rPr>
        <w:t>雨水、地面清洗水、油罐罐底切水、油罐清洗废水及员工生活污水。</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outlineLvl w:val="9"/>
        <w:rPr>
          <w:rFonts w:hint="eastAsia"/>
          <w:b w:val="0"/>
          <w:bCs w:val="0"/>
          <w:kern w:val="0"/>
          <w:sz w:val="24"/>
          <w:szCs w:val="24"/>
        </w:rPr>
      </w:pPr>
      <w:r>
        <w:rPr>
          <w:rFonts w:hint="eastAsia" w:ascii="宋体" w:hAnsi="宋体"/>
          <w:b w:val="0"/>
          <w:bCs w:val="0"/>
          <w:color w:val="000000"/>
          <w:sz w:val="24"/>
          <w:szCs w:val="24"/>
        </w:rPr>
        <w:t>（</w:t>
      </w:r>
      <w:r>
        <w:rPr>
          <w:b w:val="0"/>
          <w:bCs w:val="0"/>
          <w:color w:val="000000"/>
          <w:sz w:val="24"/>
          <w:szCs w:val="24"/>
        </w:rPr>
        <w:t>1</w:t>
      </w:r>
      <w:r>
        <w:rPr>
          <w:rFonts w:hint="eastAsia" w:ascii="宋体" w:hAnsi="宋体"/>
          <w:b w:val="0"/>
          <w:bCs w:val="0"/>
          <w:color w:val="000000"/>
          <w:sz w:val="24"/>
          <w:szCs w:val="24"/>
        </w:rPr>
        <w:t>）</w:t>
      </w:r>
      <w:r>
        <w:rPr>
          <w:rFonts w:hint="eastAsia" w:ascii="宋体" w:hAnsi="宋体"/>
          <w:b w:val="0"/>
          <w:bCs w:val="0"/>
          <w:color w:val="000000"/>
          <w:sz w:val="24"/>
          <w:szCs w:val="24"/>
          <w:lang w:eastAsia="zh-CN"/>
        </w:rPr>
        <w:t>罐区</w:t>
      </w:r>
      <w:r>
        <w:rPr>
          <w:rFonts w:hint="eastAsia" w:ascii="宋体" w:hAnsi="宋体"/>
          <w:b w:val="0"/>
          <w:bCs w:val="0"/>
          <w:color w:val="000000"/>
          <w:sz w:val="24"/>
          <w:szCs w:val="24"/>
        </w:rPr>
        <w:t>初期雨水</w:t>
      </w:r>
      <w:r>
        <w:rPr>
          <w:rFonts w:hint="eastAsia" w:ascii="宋体" w:hAnsi="宋体"/>
          <w:b w:val="0"/>
          <w:bCs w:val="0"/>
          <w:color w:val="000000"/>
          <w:sz w:val="24"/>
          <w:szCs w:val="24"/>
          <w:lang w:eastAsia="zh-CN"/>
        </w:rPr>
        <w:t>：</w:t>
      </w:r>
      <w:r>
        <w:rPr>
          <w:rFonts w:hint="eastAsia" w:ascii="宋体" w:hAnsi="宋体"/>
          <w:b w:val="0"/>
          <w:bCs w:val="0"/>
          <w:sz w:val="24"/>
          <w:szCs w:val="24"/>
        </w:rPr>
        <w:t>初期污染雨水排至库区油污水管道，通过管道排至污水提升池内，通过提升泵将污水提升至</w:t>
      </w:r>
      <w:r>
        <w:rPr>
          <w:rFonts w:hint="eastAsia"/>
          <w:b w:val="0"/>
          <w:bCs w:val="0"/>
          <w:sz w:val="24"/>
          <w:szCs w:val="24"/>
        </w:rPr>
        <w:t>中国石化九江分公司</w:t>
      </w:r>
      <w:r>
        <w:rPr>
          <w:rFonts w:hint="eastAsia"/>
          <w:b w:val="0"/>
          <w:bCs w:val="0"/>
          <w:sz w:val="24"/>
          <w:szCs w:val="24"/>
          <w:lang w:eastAsia="zh-CN"/>
        </w:rPr>
        <w:t>委外处理</w:t>
      </w:r>
      <w:r>
        <w:rPr>
          <w:rFonts w:hint="eastAsia" w:ascii="宋体" w:hAnsi="宋体"/>
          <w:b w:val="0"/>
          <w:bCs w:val="0"/>
          <w:sz w:val="24"/>
          <w:szCs w:val="24"/>
        </w:rPr>
        <w:t>。</w:t>
      </w:r>
      <w:r>
        <w:rPr>
          <w:rFonts w:hint="eastAsia"/>
          <w:b w:val="0"/>
          <w:bCs w:val="0"/>
          <w:sz w:val="24"/>
          <w:szCs w:val="24"/>
          <w:lang w:eastAsia="zh-CN"/>
        </w:rPr>
        <w:t>经</w:t>
      </w:r>
      <w:r>
        <w:rPr>
          <w:rFonts w:hint="eastAsia"/>
          <w:b w:val="0"/>
          <w:bCs w:val="0"/>
          <w:sz w:val="24"/>
          <w:szCs w:val="24"/>
        </w:rPr>
        <w:t>中国石化九江分公司污水处理厂处理达《石油炼制工业污染物排放标准》（GB31570-2015）表1标准排入长江。</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outlineLvl w:val="9"/>
        <w:rPr>
          <w:rFonts w:hint="eastAsia"/>
          <w:b w:val="0"/>
          <w:bCs w:val="0"/>
          <w:sz w:val="24"/>
          <w:szCs w:val="24"/>
        </w:rPr>
      </w:pPr>
      <w:r>
        <w:rPr>
          <w:rFonts w:hint="eastAsia" w:ascii="宋体" w:hAnsi="宋体"/>
          <w:b w:val="0"/>
          <w:bCs w:val="0"/>
          <w:color w:val="000000"/>
          <w:sz w:val="24"/>
          <w:szCs w:val="24"/>
        </w:rPr>
        <w:t>（</w:t>
      </w:r>
      <w:r>
        <w:rPr>
          <w:b w:val="0"/>
          <w:bCs w:val="0"/>
          <w:color w:val="000000"/>
          <w:sz w:val="24"/>
          <w:szCs w:val="24"/>
        </w:rPr>
        <w:t>2</w:t>
      </w:r>
      <w:r>
        <w:rPr>
          <w:rFonts w:hint="eastAsia" w:ascii="宋体" w:hAnsi="宋体"/>
          <w:b w:val="0"/>
          <w:bCs w:val="0"/>
          <w:color w:val="000000"/>
          <w:sz w:val="24"/>
          <w:szCs w:val="24"/>
        </w:rPr>
        <w:t>）油罐罐底</w:t>
      </w:r>
      <w:r>
        <w:rPr>
          <w:rFonts w:hint="eastAsia" w:ascii="宋体" w:hAnsi="宋体"/>
          <w:b w:val="0"/>
          <w:bCs w:val="0"/>
          <w:color w:val="000000"/>
          <w:sz w:val="24"/>
          <w:szCs w:val="24"/>
          <w:lang w:eastAsia="zh-CN"/>
        </w:rPr>
        <w:t>排</w:t>
      </w:r>
      <w:r>
        <w:rPr>
          <w:rFonts w:hint="eastAsia" w:ascii="宋体" w:hAnsi="宋体"/>
          <w:b w:val="0"/>
          <w:bCs w:val="0"/>
          <w:color w:val="000000"/>
          <w:sz w:val="24"/>
          <w:szCs w:val="24"/>
        </w:rPr>
        <w:t>水</w:t>
      </w:r>
      <w:r>
        <w:rPr>
          <w:rFonts w:hint="eastAsia" w:ascii="宋体" w:hAnsi="宋体"/>
          <w:b w:val="0"/>
          <w:bCs w:val="0"/>
          <w:color w:val="000000"/>
          <w:sz w:val="24"/>
          <w:szCs w:val="24"/>
          <w:lang w:eastAsia="zh-CN"/>
        </w:rPr>
        <w:t>：</w:t>
      </w:r>
      <w:r>
        <w:rPr>
          <w:rFonts w:hint="eastAsia" w:hAnsi="宋体"/>
          <w:b w:val="0"/>
          <w:bCs w:val="0"/>
          <w:sz w:val="24"/>
          <w:szCs w:val="24"/>
        </w:rPr>
        <w:t>在储存过程中，油品中的水在油层下面积存，油罐切水时，这类废水COD、石油类污染物浓度较高。</w:t>
      </w:r>
      <w:r>
        <w:rPr>
          <w:rFonts w:hint="eastAsia" w:hAnsi="宋体"/>
          <w:b w:val="0"/>
          <w:bCs w:val="0"/>
          <w:sz w:val="24"/>
          <w:szCs w:val="24"/>
          <w:lang w:eastAsia="zh-CN"/>
        </w:rPr>
        <w:t>当储罐底部水高超过</w:t>
      </w:r>
      <w:r>
        <w:rPr>
          <w:rFonts w:hint="eastAsia" w:hAnsi="宋体"/>
          <w:b w:val="0"/>
          <w:bCs w:val="0"/>
          <w:sz w:val="24"/>
          <w:szCs w:val="24"/>
          <w:lang w:val="en-US" w:eastAsia="zh-CN"/>
        </w:rPr>
        <w:t>50mm时需进行排水作业，排水量</w:t>
      </w:r>
      <w:r>
        <w:rPr>
          <w:rFonts w:hint="eastAsia" w:hAnsi="宋体"/>
          <w:b w:val="0"/>
          <w:bCs w:val="0"/>
          <w:color w:val="auto"/>
          <w:sz w:val="24"/>
          <w:szCs w:val="24"/>
        </w:rPr>
        <w:t>约为</w:t>
      </w:r>
      <w:r>
        <w:rPr>
          <w:rFonts w:hint="eastAsia" w:hAnsi="宋体"/>
          <w:b w:val="0"/>
          <w:bCs w:val="0"/>
          <w:color w:val="auto"/>
          <w:sz w:val="24"/>
          <w:szCs w:val="24"/>
          <w:lang w:val="en-US" w:eastAsia="zh-CN"/>
        </w:rPr>
        <w:t>2</w:t>
      </w:r>
      <w:r>
        <w:rPr>
          <w:rFonts w:hint="eastAsia" w:hAnsi="宋体"/>
          <w:b w:val="0"/>
          <w:bCs w:val="0"/>
          <w:color w:val="auto"/>
          <w:sz w:val="24"/>
          <w:szCs w:val="24"/>
        </w:rPr>
        <w:t>m</w:t>
      </w:r>
      <w:r>
        <w:rPr>
          <w:rFonts w:hint="eastAsia" w:hAnsi="宋体"/>
          <w:b w:val="0"/>
          <w:bCs w:val="0"/>
          <w:color w:val="auto"/>
          <w:sz w:val="24"/>
          <w:szCs w:val="24"/>
          <w:vertAlign w:val="superscript"/>
        </w:rPr>
        <w:t>3</w:t>
      </w:r>
      <w:r>
        <w:rPr>
          <w:rFonts w:hint="eastAsia" w:hAnsi="宋体"/>
          <w:b w:val="0"/>
          <w:bCs w:val="0"/>
          <w:color w:val="auto"/>
          <w:sz w:val="24"/>
          <w:szCs w:val="24"/>
        </w:rPr>
        <w:t>/罐·次，该项目储罐</w:t>
      </w:r>
      <w:r>
        <w:rPr>
          <w:rFonts w:hint="eastAsia" w:hAnsi="宋体"/>
          <w:b w:val="0"/>
          <w:bCs w:val="0"/>
          <w:color w:val="auto"/>
          <w:sz w:val="24"/>
          <w:szCs w:val="24"/>
          <w:lang w:eastAsia="zh-CN"/>
        </w:rPr>
        <w:t>排</w:t>
      </w:r>
      <w:r>
        <w:rPr>
          <w:rFonts w:hint="eastAsia" w:hAnsi="宋体"/>
          <w:b w:val="0"/>
          <w:bCs w:val="0"/>
          <w:color w:val="auto"/>
          <w:sz w:val="24"/>
          <w:szCs w:val="24"/>
        </w:rPr>
        <w:t>水量约为</w:t>
      </w:r>
      <w:r>
        <w:rPr>
          <w:rFonts w:hint="eastAsia" w:hAnsi="宋体"/>
          <w:b w:val="0"/>
          <w:bCs w:val="0"/>
          <w:color w:val="auto"/>
          <w:sz w:val="24"/>
          <w:szCs w:val="24"/>
          <w:lang w:val="en-US" w:eastAsia="zh-CN"/>
        </w:rPr>
        <w:t>32</w:t>
      </w:r>
      <w:r>
        <w:rPr>
          <w:b w:val="0"/>
          <w:bCs w:val="0"/>
          <w:color w:val="auto"/>
          <w:sz w:val="24"/>
          <w:szCs w:val="24"/>
        </w:rPr>
        <w:t>m</w:t>
      </w:r>
      <w:r>
        <w:rPr>
          <w:b w:val="0"/>
          <w:bCs w:val="0"/>
          <w:color w:val="auto"/>
          <w:sz w:val="24"/>
          <w:szCs w:val="24"/>
          <w:vertAlign w:val="superscript"/>
        </w:rPr>
        <w:t>3</w:t>
      </w:r>
      <w:r>
        <w:rPr>
          <w:b w:val="0"/>
          <w:bCs w:val="0"/>
          <w:color w:val="auto"/>
          <w:sz w:val="24"/>
          <w:szCs w:val="24"/>
        </w:rPr>
        <w:t>/</w:t>
      </w:r>
      <w:r>
        <w:rPr>
          <w:rFonts w:hint="eastAsia"/>
          <w:b w:val="0"/>
          <w:bCs w:val="0"/>
          <w:color w:val="auto"/>
          <w:sz w:val="24"/>
          <w:szCs w:val="24"/>
        </w:rPr>
        <w:t>a。</w:t>
      </w:r>
      <w:r>
        <w:rPr>
          <w:rFonts w:hint="eastAsia" w:hAnsi="宋体"/>
          <w:b w:val="0"/>
          <w:bCs w:val="0"/>
          <w:sz w:val="24"/>
          <w:szCs w:val="24"/>
        </w:rPr>
        <w:t>油罐</w:t>
      </w:r>
      <w:r>
        <w:rPr>
          <w:rFonts w:hint="eastAsia" w:hAnsi="宋体"/>
          <w:b w:val="0"/>
          <w:bCs w:val="0"/>
          <w:sz w:val="24"/>
          <w:szCs w:val="24"/>
          <w:lang w:eastAsia="zh-CN"/>
        </w:rPr>
        <w:t>排水</w:t>
      </w:r>
      <w:r>
        <w:rPr>
          <w:rFonts w:hint="eastAsia" w:hAnsi="宋体"/>
          <w:b w:val="0"/>
          <w:bCs w:val="0"/>
          <w:sz w:val="24"/>
          <w:szCs w:val="24"/>
        </w:rPr>
        <w:t>中主要含有一定量的游离乳化油，</w:t>
      </w:r>
      <w:r>
        <w:rPr>
          <w:rFonts w:hint="eastAsia" w:hAnsi="宋体"/>
          <w:b w:val="0"/>
          <w:bCs w:val="0"/>
          <w:sz w:val="24"/>
          <w:szCs w:val="24"/>
          <w:highlight w:val="none"/>
        </w:rPr>
        <w:t>类比同类型油库储罐</w:t>
      </w:r>
      <w:r>
        <w:rPr>
          <w:rFonts w:hint="eastAsia" w:hAnsi="宋体"/>
          <w:b w:val="0"/>
          <w:bCs w:val="0"/>
          <w:sz w:val="24"/>
          <w:szCs w:val="24"/>
          <w:highlight w:val="none"/>
          <w:lang w:eastAsia="zh-CN"/>
        </w:rPr>
        <w:t>排水</w:t>
      </w:r>
      <w:r>
        <w:rPr>
          <w:rFonts w:hint="eastAsia" w:hAnsi="宋体"/>
          <w:b w:val="0"/>
          <w:bCs w:val="0"/>
          <w:sz w:val="24"/>
          <w:szCs w:val="24"/>
          <w:highlight w:val="none"/>
        </w:rPr>
        <w:t>水质，</w:t>
      </w:r>
      <w:r>
        <w:rPr>
          <w:rFonts w:hint="eastAsia" w:hAnsi="宋体"/>
          <w:b w:val="0"/>
          <w:bCs w:val="0"/>
          <w:sz w:val="24"/>
          <w:szCs w:val="24"/>
          <w:lang w:eastAsia="zh-CN"/>
        </w:rPr>
        <w:t>排水</w:t>
      </w:r>
      <w:r>
        <w:rPr>
          <w:rFonts w:hint="eastAsia"/>
          <w:b w:val="0"/>
          <w:bCs w:val="0"/>
          <w:sz w:val="24"/>
          <w:szCs w:val="24"/>
        </w:rPr>
        <w:t>污染物</w:t>
      </w:r>
      <w:r>
        <w:rPr>
          <w:rFonts w:hAnsi="宋体"/>
          <w:b w:val="0"/>
          <w:bCs w:val="0"/>
          <w:sz w:val="24"/>
          <w:szCs w:val="24"/>
        </w:rPr>
        <w:t>浓度</w:t>
      </w:r>
      <w:r>
        <w:rPr>
          <w:rFonts w:hint="eastAsia" w:hAnsi="宋体"/>
          <w:b w:val="0"/>
          <w:bCs w:val="0"/>
          <w:sz w:val="24"/>
          <w:szCs w:val="24"/>
        </w:rPr>
        <w:t>及产生量</w:t>
      </w:r>
      <w:r>
        <w:rPr>
          <w:rFonts w:hAnsi="宋体"/>
          <w:b w:val="0"/>
          <w:bCs w:val="0"/>
          <w:sz w:val="24"/>
          <w:szCs w:val="24"/>
        </w:rPr>
        <w:t>约为</w:t>
      </w:r>
      <w:r>
        <w:rPr>
          <w:rFonts w:hint="eastAsia" w:hAnsi="宋体"/>
          <w:b w:val="0"/>
          <w:bCs w:val="0"/>
          <w:sz w:val="24"/>
          <w:szCs w:val="24"/>
        </w:rPr>
        <w:t>：</w:t>
      </w:r>
      <w:r>
        <w:rPr>
          <w:rFonts w:hAnsi="宋体"/>
          <w:b w:val="0"/>
          <w:bCs w:val="0"/>
          <w:sz w:val="24"/>
          <w:szCs w:val="24"/>
        </w:rPr>
        <w:t>石油类</w:t>
      </w:r>
      <w:r>
        <w:rPr>
          <w:rFonts w:hint="eastAsia" w:hAnsi="宋体"/>
          <w:b w:val="0"/>
          <w:bCs w:val="0"/>
          <w:sz w:val="24"/>
          <w:szCs w:val="24"/>
        </w:rPr>
        <w:t>3</w:t>
      </w:r>
      <w:r>
        <w:rPr>
          <w:b w:val="0"/>
          <w:bCs w:val="0"/>
          <w:sz w:val="24"/>
          <w:szCs w:val="24"/>
        </w:rPr>
        <w:t>00mg/L</w:t>
      </w:r>
      <w:r>
        <w:rPr>
          <w:rFonts w:hint="eastAsia"/>
          <w:b w:val="0"/>
          <w:bCs w:val="0"/>
          <w:sz w:val="24"/>
          <w:szCs w:val="24"/>
        </w:rPr>
        <w:t>，</w:t>
      </w:r>
      <w:r>
        <w:rPr>
          <w:b w:val="0"/>
          <w:bCs w:val="0"/>
          <w:sz w:val="24"/>
          <w:szCs w:val="24"/>
        </w:rPr>
        <w:t>COD</w:t>
      </w:r>
      <w:r>
        <w:rPr>
          <w:rFonts w:hint="eastAsia"/>
          <w:b w:val="0"/>
          <w:bCs w:val="0"/>
          <w:sz w:val="24"/>
          <w:szCs w:val="24"/>
        </w:rPr>
        <w:t>500mg/L。依托中国石化九江分公司污水处理厂处理达《石油炼制工业污染物排放标准》（GB31570-2015）表1标准排入长江。</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outlineLvl w:val="9"/>
        <w:rPr>
          <w:rFonts w:hint="eastAsia"/>
          <w:b w:val="0"/>
          <w:bCs w:val="0"/>
          <w:sz w:val="24"/>
          <w:szCs w:val="24"/>
        </w:rPr>
      </w:pPr>
      <w:r>
        <w:rPr>
          <w:rFonts w:hint="eastAsia"/>
          <w:b w:val="0"/>
          <w:bCs w:val="0"/>
          <w:sz w:val="24"/>
          <w:szCs w:val="24"/>
        </w:rPr>
        <w:t>（</w:t>
      </w:r>
      <w:r>
        <w:rPr>
          <w:rFonts w:hint="eastAsia"/>
          <w:b w:val="0"/>
          <w:bCs w:val="0"/>
          <w:sz w:val="24"/>
          <w:szCs w:val="24"/>
          <w:lang w:val="en-US" w:eastAsia="zh-CN"/>
        </w:rPr>
        <w:t>3</w:t>
      </w:r>
      <w:r>
        <w:rPr>
          <w:rFonts w:hint="eastAsia"/>
          <w:b w:val="0"/>
          <w:bCs w:val="0"/>
          <w:sz w:val="24"/>
          <w:szCs w:val="24"/>
        </w:rPr>
        <w:t>）油罐清洗废水</w:t>
      </w:r>
      <w:r>
        <w:rPr>
          <w:rFonts w:hint="eastAsia"/>
          <w:b w:val="0"/>
          <w:bCs w:val="0"/>
          <w:sz w:val="24"/>
          <w:szCs w:val="24"/>
          <w:lang w:eastAsia="zh-CN"/>
        </w:rPr>
        <w:t>：</w:t>
      </w:r>
      <w:r>
        <w:rPr>
          <w:rFonts w:hint="eastAsia" w:hAnsi="宋体"/>
          <w:b w:val="0"/>
          <w:bCs w:val="0"/>
          <w:color w:val="auto"/>
          <w:sz w:val="24"/>
          <w:szCs w:val="24"/>
        </w:rPr>
        <w:t>本项目储罐专罐专用，根据</w:t>
      </w:r>
      <w:r>
        <w:rPr>
          <w:rFonts w:hint="eastAsia" w:hAnsi="宋体"/>
          <w:b w:val="0"/>
          <w:bCs w:val="0"/>
          <w:color w:val="auto"/>
          <w:sz w:val="24"/>
          <w:szCs w:val="24"/>
          <w:lang w:eastAsia="zh-CN"/>
        </w:rPr>
        <w:t>业主提供资料</w:t>
      </w:r>
      <w:r>
        <w:rPr>
          <w:rFonts w:hint="eastAsia" w:hAnsi="宋体"/>
          <w:b w:val="0"/>
          <w:bCs w:val="0"/>
          <w:color w:val="auto"/>
          <w:sz w:val="24"/>
          <w:szCs w:val="24"/>
        </w:rPr>
        <w:t>，储罐</w:t>
      </w:r>
      <w:r>
        <w:rPr>
          <w:rFonts w:hint="eastAsia" w:hAnsi="宋体"/>
          <w:b w:val="0"/>
          <w:bCs w:val="0"/>
          <w:color w:val="auto"/>
          <w:sz w:val="24"/>
          <w:szCs w:val="24"/>
          <w:lang w:val="en-US" w:eastAsia="zh-CN"/>
        </w:rPr>
        <w:t>3</w:t>
      </w:r>
      <w:r>
        <w:rPr>
          <w:rFonts w:hint="eastAsia" w:hAnsi="宋体"/>
          <w:b w:val="0"/>
          <w:bCs w:val="0"/>
          <w:color w:val="auto"/>
          <w:sz w:val="24"/>
          <w:szCs w:val="24"/>
        </w:rPr>
        <w:t>年清洗一次，</w:t>
      </w:r>
      <w:r>
        <w:rPr>
          <w:rFonts w:hint="eastAsia" w:hAnsi="Arial"/>
          <w:b w:val="0"/>
          <w:bCs w:val="0"/>
          <w:color w:val="auto"/>
          <w:sz w:val="24"/>
          <w:szCs w:val="24"/>
        </w:rPr>
        <w:t>现有储罐16座，库容19万m</w:t>
      </w:r>
      <w:r>
        <w:rPr>
          <w:rFonts w:hint="eastAsia" w:hAnsi="Arial"/>
          <w:b w:val="0"/>
          <w:bCs w:val="0"/>
          <w:color w:val="auto"/>
          <w:sz w:val="24"/>
          <w:szCs w:val="24"/>
          <w:vertAlign w:val="superscript"/>
        </w:rPr>
        <w:t>3</w:t>
      </w:r>
      <w:r>
        <w:rPr>
          <w:rFonts w:hint="eastAsia" w:hAnsi="宋体"/>
          <w:b w:val="0"/>
          <w:bCs w:val="0"/>
          <w:color w:val="auto"/>
          <w:sz w:val="24"/>
          <w:szCs w:val="24"/>
        </w:rPr>
        <w:t>；T-1罐组3座3万</w:t>
      </w:r>
      <w:r>
        <w:rPr>
          <w:rFonts w:hint="eastAsia" w:hAnsi="Arial"/>
          <w:b w:val="0"/>
          <w:bCs w:val="0"/>
          <w:color w:val="auto"/>
          <w:sz w:val="24"/>
          <w:szCs w:val="24"/>
        </w:rPr>
        <w:t>m</w:t>
      </w:r>
      <w:r>
        <w:rPr>
          <w:rFonts w:hint="eastAsia" w:hAnsi="Arial"/>
          <w:b w:val="0"/>
          <w:bCs w:val="0"/>
          <w:color w:val="auto"/>
          <w:sz w:val="24"/>
          <w:szCs w:val="24"/>
          <w:vertAlign w:val="superscript"/>
        </w:rPr>
        <w:t>3</w:t>
      </w:r>
      <w:r>
        <w:rPr>
          <w:rFonts w:hint="eastAsia" w:hAnsi="Arial"/>
          <w:b w:val="0"/>
          <w:bCs w:val="0"/>
          <w:color w:val="auto"/>
          <w:sz w:val="24"/>
          <w:szCs w:val="24"/>
        </w:rPr>
        <w:t>内浮顶油罐和1座2万m</w:t>
      </w:r>
      <w:r>
        <w:rPr>
          <w:rFonts w:hint="eastAsia" w:hAnsi="Arial"/>
          <w:b w:val="0"/>
          <w:bCs w:val="0"/>
          <w:color w:val="auto"/>
          <w:sz w:val="24"/>
          <w:szCs w:val="24"/>
          <w:vertAlign w:val="superscript"/>
        </w:rPr>
        <w:t>3</w:t>
      </w:r>
      <w:r>
        <w:rPr>
          <w:rFonts w:hint="eastAsia" w:hAnsi="Arial"/>
          <w:b w:val="0"/>
          <w:bCs w:val="0"/>
          <w:color w:val="auto"/>
          <w:sz w:val="24"/>
          <w:szCs w:val="24"/>
        </w:rPr>
        <w:t>内浮顶油罐；T-2罐组4座1万m</w:t>
      </w:r>
      <w:r>
        <w:rPr>
          <w:rFonts w:hint="eastAsia" w:hAnsi="Arial"/>
          <w:b w:val="0"/>
          <w:bCs w:val="0"/>
          <w:color w:val="auto"/>
          <w:sz w:val="24"/>
          <w:szCs w:val="24"/>
          <w:vertAlign w:val="superscript"/>
        </w:rPr>
        <w:t>3</w:t>
      </w:r>
      <w:r>
        <w:rPr>
          <w:rFonts w:hint="eastAsia" w:hAnsi="Arial"/>
          <w:b w:val="0"/>
          <w:bCs w:val="0"/>
          <w:color w:val="auto"/>
          <w:sz w:val="24"/>
          <w:szCs w:val="24"/>
        </w:rPr>
        <w:t>内浮顶油罐和4座5000m</w:t>
      </w:r>
      <w:r>
        <w:rPr>
          <w:rFonts w:hint="eastAsia" w:hAnsi="Arial"/>
          <w:b w:val="0"/>
          <w:bCs w:val="0"/>
          <w:color w:val="auto"/>
          <w:sz w:val="24"/>
          <w:szCs w:val="24"/>
          <w:vertAlign w:val="superscript"/>
        </w:rPr>
        <w:t>3</w:t>
      </w:r>
      <w:r>
        <w:rPr>
          <w:rFonts w:hint="eastAsia" w:hAnsi="Arial"/>
          <w:b w:val="0"/>
          <w:bCs w:val="0"/>
          <w:color w:val="auto"/>
          <w:sz w:val="24"/>
          <w:szCs w:val="24"/>
        </w:rPr>
        <w:t>内浮顶油罐，4座5000 m</w:t>
      </w:r>
      <w:r>
        <w:rPr>
          <w:rFonts w:hint="eastAsia" w:hAnsi="Arial"/>
          <w:b w:val="0"/>
          <w:bCs w:val="0"/>
          <w:color w:val="auto"/>
          <w:sz w:val="24"/>
          <w:szCs w:val="24"/>
          <w:vertAlign w:val="superscript"/>
        </w:rPr>
        <w:t>3</w:t>
      </w:r>
      <w:r>
        <w:rPr>
          <w:rFonts w:hint="eastAsia" w:hAnsi="Arial"/>
          <w:b w:val="0"/>
          <w:bCs w:val="0"/>
          <w:color w:val="auto"/>
          <w:sz w:val="24"/>
          <w:szCs w:val="24"/>
          <w:lang w:eastAsia="zh-CN"/>
        </w:rPr>
        <w:t>内浮顶</w:t>
      </w:r>
      <w:r>
        <w:rPr>
          <w:rFonts w:hint="eastAsia" w:hAnsi="Arial"/>
          <w:b w:val="0"/>
          <w:bCs w:val="0"/>
          <w:color w:val="auto"/>
          <w:sz w:val="24"/>
          <w:szCs w:val="24"/>
        </w:rPr>
        <w:t>油罐储存柴油</w:t>
      </w:r>
      <w:r>
        <w:rPr>
          <w:rFonts w:hint="eastAsia" w:hAnsi="宋体"/>
          <w:b w:val="0"/>
          <w:bCs w:val="0"/>
          <w:color w:val="auto"/>
          <w:sz w:val="24"/>
          <w:szCs w:val="24"/>
        </w:rPr>
        <w:t>。</w:t>
      </w:r>
      <w:r>
        <w:rPr>
          <w:rFonts w:hint="eastAsia"/>
          <w:b w:val="0"/>
          <w:bCs w:val="0"/>
          <w:sz w:val="24"/>
          <w:szCs w:val="24"/>
        </w:rPr>
        <w:t>与油罐罐底</w:t>
      </w:r>
      <w:r>
        <w:rPr>
          <w:rFonts w:hint="eastAsia"/>
          <w:b w:val="0"/>
          <w:bCs w:val="0"/>
          <w:sz w:val="24"/>
          <w:szCs w:val="24"/>
          <w:lang w:eastAsia="zh-CN"/>
        </w:rPr>
        <w:t>排</w:t>
      </w:r>
      <w:r>
        <w:rPr>
          <w:rFonts w:hint="eastAsia"/>
          <w:b w:val="0"/>
          <w:bCs w:val="0"/>
          <w:sz w:val="24"/>
          <w:szCs w:val="24"/>
        </w:rPr>
        <w:t>水一并依托中国石化九江分公司污水处理厂处理达《石油炼制工业污染物排放标准》（GB31570-2015）表1标准排入长江</w:t>
      </w:r>
      <w:r>
        <w:rPr>
          <w:rFonts w:hint="eastAsia"/>
          <w:b w:val="0"/>
          <w:bCs w:val="0"/>
          <w:sz w:val="24"/>
          <w:szCs w:val="24"/>
          <w:lang w:val="en-US" w:eastAsia="zh-CN"/>
        </w:rPr>
        <w:t>。</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outlineLvl w:val="9"/>
        <w:rPr>
          <w:rFonts w:hint="eastAsia"/>
          <w:b w:val="0"/>
          <w:bCs w:val="0"/>
          <w:sz w:val="24"/>
          <w:szCs w:val="24"/>
        </w:rPr>
      </w:pPr>
      <w:r>
        <w:rPr>
          <w:rFonts w:hint="eastAsia"/>
          <w:b w:val="0"/>
          <w:bCs w:val="0"/>
          <w:sz w:val="24"/>
          <w:szCs w:val="24"/>
        </w:rPr>
        <w:t>（</w:t>
      </w:r>
      <w:r>
        <w:rPr>
          <w:rFonts w:hint="eastAsia"/>
          <w:b w:val="0"/>
          <w:bCs w:val="0"/>
          <w:sz w:val="24"/>
          <w:szCs w:val="24"/>
          <w:lang w:val="en-US" w:eastAsia="zh-CN"/>
        </w:rPr>
        <w:t>4</w:t>
      </w:r>
      <w:r>
        <w:rPr>
          <w:rFonts w:hint="eastAsia"/>
          <w:b w:val="0"/>
          <w:bCs w:val="0"/>
          <w:sz w:val="24"/>
          <w:szCs w:val="24"/>
        </w:rPr>
        <w:t>）生活污水</w:t>
      </w:r>
      <w:r>
        <w:rPr>
          <w:rFonts w:hint="eastAsia"/>
          <w:b w:val="0"/>
          <w:bCs w:val="0"/>
          <w:sz w:val="24"/>
          <w:szCs w:val="24"/>
          <w:lang w:eastAsia="zh-CN"/>
        </w:rPr>
        <w:t>：根据业主提供资料</w:t>
      </w:r>
      <w:r>
        <w:rPr>
          <w:rFonts w:hint="eastAsia"/>
          <w:b w:val="0"/>
          <w:bCs w:val="0"/>
          <w:sz w:val="24"/>
          <w:szCs w:val="24"/>
          <w:highlight w:val="none"/>
          <w:lang w:eastAsia="zh-CN"/>
        </w:rPr>
        <w:t>，</w:t>
      </w:r>
      <w:r>
        <w:rPr>
          <w:rFonts w:hint="eastAsia" w:hAnsi="宋体"/>
          <w:b w:val="0"/>
          <w:bCs w:val="0"/>
          <w:color w:val="auto"/>
          <w:sz w:val="24"/>
          <w:szCs w:val="24"/>
          <w:highlight w:val="none"/>
          <w:lang w:val="en-GB"/>
        </w:rPr>
        <w:t>生活用水量为4.3</w:t>
      </w:r>
      <w:r>
        <w:rPr>
          <w:rFonts w:hAnsi="宋体"/>
          <w:b w:val="0"/>
          <w:bCs w:val="0"/>
          <w:color w:val="auto"/>
          <w:sz w:val="24"/>
          <w:szCs w:val="24"/>
          <w:highlight w:val="none"/>
          <w:lang w:val="en-GB"/>
        </w:rPr>
        <w:t>m</w:t>
      </w:r>
      <w:r>
        <w:rPr>
          <w:rFonts w:hAnsi="宋体"/>
          <w:b w:val="0"/>
          <w:bCs w:val="0"/>
          <w:color w:val="auto"/>
          <w:sz w:val="24"/>
          <w:szCs w:val="24"/>
          <w:highlight w:val="none"/>
          <w:vertAlign w:val="superscript"/>
          <w:lang w:val="en-GB"/>
        </w:rPr>
        <w:t>3</w:t>
      </w:r>
      <w:r>
        <w:rPr>
          <w:rFonts w:hAnsi="宋体"/>
          <w:b w:val="0"/>
          <w:bCs w:val="0"/>
          <w:color w:val="auto"/>
          <w:sz w:val="24"/>
          <w:szCs w:val="24"/>
          <w:highlight w:val="none"/>
          <w:lang w:val="en-GB"/>
        </w:rPr>
        <w:t>/</w:t>
      </w:r>
      <w:r>
        <w:rPr>
          <w:rFonts w:hint="eastAsia" w:hAnsi="宋体"/>
          <w:b w:val="0"/>
          <w:bCs w:val="0"/>
          <w:color w:val="auto"/>
          <w:sz w:val="24"/>
          <w:szCs w:val="24"/>
          <w:highlight w:val="none"/>
          <w:lang w:val="en-GB"/>
        </w:rPr>
        <w:t>d，1442</w:t>
      </w:r>
      <w:r>
        <w:rPr>
          <w:rFonts w:hAnsi="宋体"/>
          <w:b w:val="0"/>
          <w:bCs w:val="0"/>
          <w:color w:val="auto"/>
          <w:sz w:val="24"/>
          <w:szCs w:val="24"/>
          <w:highlight w:val="none"/>
          <w:lang w:val="en-GB"/>
        </w:rPr>
        <w:t>m</w:t>
      </w:r>
      <w:r>
        <w:rPr>
          <w:rFonts w:hAnsi="宋体"/>
          <w:b w:val="0"/>
          <w:bCs w:val="0"/>
          <w:color w:val="auto"/>
          <w:sz w:val="24"/>
          <w:szCs w:val="24"/>
          <w:highlight w:val="none"/>
          <w:vertAlign w:val="superscript"/>
          <w:lang w:val="en-GB"/>
        </w:rPr>
        <w:t>3</w:t>
      </w:r>
      <w:r>
        <w:rPr>
          <w:rFonts w:hAnsi="宋体"/>
          <w:b w:val="0"/>
          <w:bCs w:val="0"/>
          <w:color w:val="auto"/>
          <w:sz w:val="24"/>
          <w:szCs w:val="24"/>
          <w:highlight w:val="none"/>
          <w:lang w:val="en-GB"/>
        </w:rPr>
        <w:t>/a</w:t>
      </w:r>
      <w:r>
        <w:rPr>
          <w:rFonts w:hint="eastAsia" w:hAnsi="宋体"/>
          <w:b w:val="0"/>
          <w:bCs w:val="0"/>
          <w:color w:val="auto"/>
          <w:sz w:val="24"/>
          <w:szCs w:val="24"/>
          <w:highlight w:val="none"/>
          <w:lang w:val="en-GB"/>
        </w:rPr>
        <w:t>，生活污水产生量约为3.44</w:t>
      </w:r>
      <w:r>
        <w:rPr>
          <w:rFonts w:hAnsi="宋体"/>
          <w:b w:val="0"/>
          <w:bCs w:val="0"/>
          <w:color w:val="auto"/>
          <w:sz w:val="24"/>
          <w:szCs w:val="24"/>
          <w:highlight w:val="none"/>
          <w:lang w:val="en-GB"/>
        </w:rPr>
        <w:t>m</w:t>
      </w:r>
      <w:r>
        <w:rPr>
          <w:rFonts w:hAnsi="宋体"/>
          <w:b w:val="0"/>
          <w:bCs w:val="0"/>
          <w:color w:val="auto"/>
          <w:sz w:val="24"/>
          <w:szCs w:val="24"/>
          <w:highlight w:val="none"/>
          <w:vertAlign w:val="superscript"/>
          <w:lang w:val="en-GB"/>
        </w:rPr>
        <w:t>3</w:t>
      </w:r>
      <w:r>
        <w:rPr>
          <w:rFonts w:hAnsi="宋体"/>
          <w:b w:val="0"/>
          <w:bCs w:val="0"/>
          <w:color w:val="auto"/>
          <w:sz w:val="24"/>
          <w:szCs w:val="24"/>
          <w:highlight w:val="none"/>
          <w:lang w:val="en-GB"/>
        </w:rPr>
        <w:t>/</w:t>
      </w:r>
      <w:r>
        <w:rPr>
          <w:rFonts w:hint="eastAsia" w:hAnsi="宋体"/>
          <w:b w:val="0"/>
          <w:bCs w:val="0"/>
          <w:color w:val="auto"/>
          <w:sz w:val="24"/>
          <w:szCs w:val="24"/>
          <w:highlight w:val="none"/>
          <w:lang w:val="en-GB"/>
        </w:rPr>
        <w:t>d，1153.6</w:t>
      </w:r>
      <w:r>
        <w:rPr>
          <w:rFonts w:hAnsi="宋体"/>
          <w:b w:val="0"/>
          <w:bCs w:val="0"/>
          <w:color w:val="auto"/>
          <w:sz w:val="24"/>
          <w:szCs w:val="24"/>
          <w:highlight w:val="none"/>
          <w:lang w:val="en-GB"/>
        </w:rPr>
        <w:t>m</w:t>
      </w:r>
      <w:r>
        <w:rPr>
          <w:rFonts w:hAnsi="宋体"/>
          <w:b w:val="0"/>
          <w:bCs w:val="0"/>
          <w:color w:val="auto"/>
          <w:sz w:val="24"/>
          <w:szCs w:val="24"/>
          <w:highlight w:val="none"/>
          <w:vertAlign w:val="superscript"/>
          <w:lang w:val="en-GB"/>
        </w:rPr>
        <w:t>3</w:t>
      </w:r>
      <w:r>
        <w:rPr>
          <w:rFonts w:hAnsi="宋体"/>
          <w:b w:val="0"/>
          <w:bCs w:val="0"/>
          <w:color w:val="auto"/>
          <w:sz w:val="24"/>
          <w:szCs w:val="24"/>
          <w:highlight w:val="none"/>
          <w:lang w:val="en-GB"/>
        </w:rPr>
        <w:t>/a</w:t>
      </w:r>
      <w:r>
        <w:rPr>
          <w:rFonts w:hint="eastAsia" w:hAnsi="宋体"/>
          <w:b w:val="0"/>
          <w:bCs w:val="0"/>
          <w:color w:val="auto"/>
          <w:sz w:val="24"/>
          <w:szCs w:val="24"/>
          <w:highlight w:val="none"/>
          <w:lang w:val="en-GB"/>
        </w:rPr>
        <w:t>。</w:t>
      </w:r>
      <w:r>
        <w:rPr>
          <w:rFonts w:hint="eastAsia"/>
          <w:b w:val="0"/>
          <w:bCs w:val="0"/>
          <w:sz w:val="24"/>
          <w:szCs w:val="24"/>
          <w:highlight w:val="none"/>
        </w:rPr>
        <w:t>生活污水经</w:t>
      </w:r>
      <w:r>
        <w:rPr>
          <w:rFonts w:hint="eastAsia"/>
          <w:b w:val="0"/>
          <w:bCs w:val="0"/>
          <w:sz w:val="24"/>
          <w:szCs w:val="24"/>
          <w:highlight w:val="none"/>
          <w:lang w:val="en-US" w:eastAsia="zh-CN"/>
        </w:rPr>
        <w:t>MBR处理系统</w:t>
      </w:r>
      <w:r>
        <w:rPr>
          <w:rFonts w:hint="eastAsia"/>
          <w:b w:val="0"/>
          <w:bCs w:val="0"/>
          <w:sz w:val="24"/>
          <w:szCs w:val="24"/>
          <w:highlight w:val="none"/>
          <w:lang w:eastAsia="zh-CN"/>
        </w:rPr>
        <w:t>处</w:t>
      </w:r>
      <w:r>
        <w:rPr>
          <w:rFonts w:hint="eastAsia"/>
          <w:b w:val="0"/>
          <w:bCs w:val="0"/>
          <w:sz w:val="24"/>
          <w:szCs w:val="24"/>
          <w:lang w:eastAsia="zh-CN"/>
        </w:rPr>
        <w:t>理</w:t>
      </w:r>
      <w:r>
        <w:rPr>
          <w:rFonts w:hint="eastAsia"/>
          <w:b w:val="0"/>
          <w:bCs w:val="0"/>
          <w:sz w:val="24"/>
          <w:szCs w:val="24"/>
        </w:rPr>
        <w:t>后排入长江。</w:t>
      </w:r>
    </w:p>
    <w:p>
      <w:pPr>
        <w:pStyle w:val="1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outlineLvl w:val="2"/>
        <w:rPr>
          <w:rFonts w:hint="default" w:ascii="Times New Roman" w:hAnsi="Times New Roman" w:cs="Times New Roman"/>
          <w:b w:val="0"/>
          <w:bCs w:val="0"/>
          <w:sz w:val="24"/>
          <w:szCs w:val="24"/>
          <w:lang w:val="en-US" w:eastAsia="zh-CN"/>
        </w:rPr>
      </w:pPr>
      <w:bookmarkStart w:id="30" w:name="_Toc18030"/>
      <w:bookmarkStart w:id="31" w:name="_Toc22659"/>
      <w:bookmarkStart w:id="32" w:name="_Toc31222"/>
      <w:r>
        <w:rPr>
          <w:rFonts w:hint="default" w:ascii="Times New Roman" w:hAnsi="Times New Roman" w:cs="Times New Roman"/>
          <w:b w:val="0"/>
          <w:bCs w:val="0"/>
          <w:sz w:val="24"/>
          <w:szCs w:val="24"/>
          <w:lang w:val="en-US" w:eastAsia="zh-CN"/>
        </w:rPr>
        <w:t>3、噪声污染源及处理措施</w:t>
      </w:r>
      <w:bookmarkEnd w:id="30"/>
      <w:bookmarkEnd w:id="31"/>
      <w:bookmarkEnd w:id="32"/>
    </w:p>
    <w:p>
      <w:pPr>
        <w:pStyle w:val="1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outlineLvl w:val="9"/>
        <w:rPr>
          <w:rFonts w:hint="default" w:ascii="Times New Roman" w:hAnsi="Times New Roman" w:cs="Times New Roman"/>
          <w:b w:val="0"/>
          <w:bCs w:val="0"/>
          <w:sz w:val="24"/>
          <w:szCs w:val="24"/>
          <w:lang w:val="en-US" w:eastAsia="zh-CN"/>
        </w:rPr>
      </w:pPr>
      <w:r>
        <w:rPr>
          <w:rFonts w:hAnsi="宋体"/>
          <w:b w:val="0"/>
          <w:bCs w:val="0"/>
          <w:sz w:val="24"/>
          <w:szCs w:val="24"/>
        </w:rPr>
        <w:t>主要噪声源为各类输油机泵、水泵等，噪声源强一般在80~</w:t>
      </w:r>
      <w:r>
        <w:rPr>
          <w:rFonts w:hint="eastAsia" w:hAnsi="宋体"/>
          <w:b w:val="0"/>
          <w:bCs w:val="0"/>
          <w:sz w:val="24"/>
          <w:szCs w:val="24"/>
        </w:rPr>
        <w:t>95</w:t>
      </w:r>
      <w:r>
        <w:rPr>
          <w:rFonts w:hAnsi="宋体"/>
          <w:b w:val="0"/>
          <w:bCs w:val="0"/>
          <w:sz w:val="24"/>
          <w:szCs w:val="24"/>
        </w:rPr>
        <w:t>dB(A)之间。</w:t>
      </w:r>
      <w:r>
        <w:rPr>
          <w:rFonts w:hint="eastAsia" w:hAnsi="宋体"/>
          <w:b w:val="0"/>
          <w:bCs w:val="0"/>
          <w:sz w:val="24"/>
          <w:szCs w:val="24"/>
        </w:rPr>
        <w:t>通过采用低噪声设备，合理优化平面布置，设置泵房，设置减震措施等降低噪声。</w:t>
      </w:r>
    </w:p>
    <w:p>
      <w:pPr>
        <w:pStyle w:val="1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outlineLvl w:val="2"/>
        <w:rPr>
          <w:rFonts w:hint="default" w:ascii="Times New Roman" w:hAnsi="Times New Roman" w:cs="Times New Roman"/>
          <w:b w:val="0"/>
          <w:bCs w:val="0"/>
          <w:sz w:val="24"/>
          <w:szCs w:val="24"/>
          <w:lang w:val="en-US" w:eastAsia="zh-CN"/>
        </w:rPr>
      </w:pPr>
      <w:bookmarkStart w:id="33" w:name="_Toc30066"/>
      <w:bookmarkStart w:id="34" w:name="_Toc5127"/>
      <w:bookmarkStart w:id="35" w:name="_Toc5792"/>
      <w:r>
        <w:rPr>
          <w:rFonts w:hint="default" w:ascii="Times New Roman" w:hAnsi="Times New Roman" w:cs="Times New Roman"/>
          <w:b w:val="0"/>
          <w:bCs w:val="0"/>
          <w:sz w:val="24"/>
          <w:szCs w:val="24"/>
          <w:lang w:val="en-US" w:eastAsia="zh-CN"/>
        </w:rPr>
        <w:t>4、固体废物污染源及处理措施</w:t>
      </w:r>
      <w:bookmarkEnd w:id="33"/>
      <w:bookmarkEnd w:id="34"/>
      <w:bookmarkEnd w:id="35"/>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outlineLvl w:val="9"/>
        <w:rPr>
          <w:rFonts w:hint="eastAsia"/>
          <w:b w:val="0"/>
          <w:bCs w:val="0"/>
          <w:color w:val="0000FF"/>
          <w:sz w:val="24"/>
          <w:szCs w:val="24"/>
        </w:rPr>
      </w:pPr>
      <w:r>
        <w:rPr>
          <w:rFonts w:hint="eastAsia"/>
          <w:b w:val="0"/>
          <w:bCs w:val="0"/>
          <w:sz w:val="24"/>
          <w:szCs w:val="24"/>
        </w:rPr>
        <w:t>本项目营运期间产生的固体废物主要有油罐清罐时的油泥、油渣、</w:t>
      </w:r>
      <w:r>
        <w:rPr>
          <w:rFonts w:hint="eastAsia"/>
          <w:b w:val="0"/>
          <w:bCs w:val="0"/>
          <w:sz w:val="24"/>
          <w:szCs w:val="24"/>
          <w:lang w:eastAsia="zh-CN"/>
        </w:rPr>
        <w:t>废消油剂、废沾油纸、抹布、废沾油工具等（计量尺、计量杯）、实验室废液、实验室试剂空瓶</w:t>
      </w:r>
      <w:r>
        <w:rPr>
          <w:rFonts w:hint="eastAsia"/>
          <w:b w:val="0"/>
          <w:bCs w:val="0"/>
          <w:sz w:val="24"/>
          <w:szCs w:val="24"/>
        </w:rPr>
        <w:t>和生活垃圾等</w:t>
      </w:r>
      <w:r>
        <w:rPr>
          <w:rFonts w:hint="eastAsia"/>
          <w:b w:val="0"/>
          <w:bCs w:val="0"/>
          <w:color w:val="0000FF"/>
          <w:sz w:val="24"/>
          <w:szCs w:val="24"/>
          <w:lang w:eastAsia="zh-CN"/>
        </w:rPr>
        <w:t>。</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outlineLvl w:val="9"/>
        <w:rPr>
          <w:rFonts w:hint="eastAsia" w:ascii="宋体" w:hAnsi="宋体" w:cs="宋体"/>
          <w:b w:val="0"/>
          <w:bCs w:val="0"/>
          <w:sz w:val="24"/>
          <w:szCs w:val="24"/>
          <w:lang w:val="zh-CN"/>
        </w:rPr>
      </w:pPr>
      <w:r>
        <w:rPr>
          <w:rFonts w:hint="eastAsia"/>
          <w:b w:val="0"/>
          <w:bCs w:val="0"/>
          <w:sz w:val="24"/>
          <w:szCs w:val="24"/>
        </w:rPr>
        <w:t>（1）油罐清罐时的油泥、油渣</w:t>
      </w:r>
      <w:r>
        <w:rPr>
          <w:rFonts w:hint="eastAsia"/>
          <w:b w:val="0"/>
          <w:bCs w:val="0"/>
          <w:sz w:val="24"/>
          <w:szCs w:val="24"/>
          <w:lang w:eastAsia="zh-CN"/>
        </w:rPr>
        <w:t>：</w:t>
      </w:r>
      <w:r>
        <w:rPr>
          <w:rFonts w:hint="eastAsia"/>
          <w:b w:val="0"/>
          <w:bCs w:val="0"/>
          <w:sz w:val="24"/>
          <w:szCs w:val="24"/>
        </w:rPr>
        <w:t>清洗罐底前需排出罐底固体废物，大约三年清洗一次储罐，每次产生量约为0.</w:t>
      </w:r>
      <w:r>
        <w:rPr>
          <w:rFonts w:hint="eastAsia"/>
          <w:b w:val="0"/>
          <w:bCs w:val="0"/>
          <w:sz w:val="24"/>
          <w:szCs w:val="24"/>
          <w:lang w:val="en-US" w:eastAsia="zh-CN"/>
        </w:rPr>
        <w:t>375</w:t>
      </w:r>
      <w:r>
        <w:rPr>
          <w:rFonts w:hint="eastAsia"/>
          <w:b w:val="0"/>
          <w:bCs w:val="0"/>
          <w:sz w:val="24"/>
          <w:szCs w:val="24"/>
        </w:rPr>
        <w:t>t/罐，主要为铁锈、废油，库区共设1</w:t>
      </w:r>
      <w:r>
        <w:rPr>
          <w:rFonts w:hint="eastAsia"/>
          <w:b w:val="0"/>
          <w:bCs w:val="0"/>
          <w:sz w:val="24"/>
          <w:szCs w:val="24"/>
          <w:lang w:val="en-US" w:eastAsia="zh-CN"/>
        </w:rPr>
        <w:t>6</w:t>
      </w:r>
      <w:r>
        <w:rPr>
          <w:rFonts w:hint="eastAsia"/>
          <w:b w:val="0"/>
          <w:bCs w:val="0"/>
          <w:sz w:val="24"/>
          <w:szCs w:val="24"/>
        </w:rPr>
        <w:t>个储罐。因此产生清罐油泥为</w:t>
      </w:r>
      <w:r>
        <w:rPr>
          <w:rFonts w:hint="eastAsia"/>
          <w:b w:val="0"/>
          <w:bCs w:val="0"/>
          <w:sz w:val="24"/>
          <w:szCs w:val="24"/>
          <w:lang w:val="en-US" w:eastAsia="zh-CN"/>
        </w:rPr>
        <w:t>4.5</w:t>
      </w:r>
      <w:r>
        <w:rPr>
          <w:rFonts w:hint="eastAsia"/>
          <w:b w:val="0"/>
          <w:bCs w:val="0"/>
          <w:sz w:val="24"/>
          <w:szCs w:val="24"/>
        </w:rPr>
        <w:t>t/次，</w:t>
      </w:r>
      <w:r>
        <w:rPr>
          <w:rFonts w:hint="eastAsia"/>
          <w:b w:val="0"/>
          <w:bCs w:val="0"/>
          <w:sz w:val="24"/>
          <w:szCs w:val="24"/>
          <w:lang w:val="en-US" w:eastAsia="zh-CN"/>
        </w:rPr>
        <w:t>1.5</w:t>
      </w:r>
      <w:r>
        <w:rPr>
          <w:rFonts w:hint="eastAsia"/>
          <w:b w:val="0"/>
          <w:bCs w:val="0"/>
          <w:sz w:val="24"/>
          <w:szCs w:val="24"/>
        </w:rPr>
        <w:t>t/a，该部分固体废物属于危险废物，废物类别为HW0</w:t>
      </w:r>
      <w:r>
        <w:rPr>
          <w:rFonts w:hint="eastAsia"/>
          <w:b w:val="0"/>
          <w:bCs w:val="0"/>
          <w:sz w:val="24"/>
          <w:szCs w:val="24"/>
          <w:lang w:val="en-US" w:eastAsia="zh-CN"/>
        </w:rPr>
        <w:t>6</w:t>
      </w:r>
      <w:r>
        <w:rPr>
          <w:rFonts w:hint="eastAsia"/>
          <w:b w:val="0"/>
          <w:bCs w:val="0"/>
          <w:sz w:val="24"/>
          <w:szCs w:val="24"/>
        </w:rPr>
        <w:t>，应</w:t>
      </w:r>
      <w:r>
        <w:rPr>
          <w:rFonts w:hint="eastAsia" w:ascii="宋体" w:hAnsi="宋体" w:cs="宋体"/>
          <w:b w:val="0"/>
          <w:bCs w:val="0"/>
          <w:sz w:val="24"/>
          <w:szCs w:val="24"/>
          <w:lang w:val="zh-CN"/>
        </w:rPr>
        <w:t>委托有危险废物处置资质的单位代为处置。</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outlineLvl w:val="9"/>
        <w:rPr>
          <w:rFonts w:hint="eastAsia" w:ascii="宋体" w:hAnsi="宋体" w:cs="宋体"/>
          <w:b w:val="0"/>
          <w:bCs w:val="0"/>
          <w:sz w:val="24"/>
          <w:szCs w:val="24"/>
          <w:lang w:val="zh-CN"/>
        </w:rPr>
      </w:pPr>
      <w:r>
        <w:rPr>
          <w:rFonts w:hAnsi="宋体"/>
          <w:b w:val="0"/>
          <w:bCs w:val="0"/>
          <w:sz w:val="24"/>
          <w:szCs w:val="24"/>
          <w:lang w:val="zh-CN"/>
        </w:rPr>
        <w:t>（</w:t>
      </w:r>
      <w:r>
        <w:rPr>
          <w:b w:val="0"/>
          <w:bCs w:val="0"/>
          <w:sz w:val="24"/>
          <w:szCs w:val="24"/>
          <w:lang w:val="zh-CN"/>
        </w:rPr>
        <w:t>2</w:t>
      </w:r>
      <w:r>
        <w:rPr>
          <w:rFonts w:hAnsi="宋体"/>
          <w:b w:val="0"/>
          <w:bCs w:val="0"/>
          <w:sz w:val="24"/>
          <w:szCs w:val="24"/>
          <w:lang w:val="zh-CN"/>
        </w:rPr>
        <w:t>）</w:t>
      </w:r>
      <w:r>
        <w:rPr>
          <w:rFonts w:hint="eastAsia" w:hAnsi="宋体"/>
          <w:b w:val="0"/>
          <w:bCs w:val="0"/>
          <w:sz w:val="24"/>
          <w:szCs w:val="24"/>
          <w:lang w:val="zh-CN"/>
        </w:rPr>
        <w:t>废消油剂：项目年产生废消油剂</w:t>
      </w:r>
      <w:r>
        <w:rPr>
          <w:rFonts w:hint="eastAsia" w:hAnsi="宋体"/>
          <w:b w:val="0"/>
          <w:bCs w:val="0"/>
          <w:sz w:val="24"/>
          <w:szCs w:val="24"/>
          <w:lang w:val="en-US" w:eastAsia="zh-CN"/>
        </w:rPr>
        <w:t>0.4t/a，</w:t>
      </w:r>
      <w:r>
        <w:rPr>
          <w:rFonts w:hint="eastAsia"/>
          <w:b w:val="0"/>
          <w:bCs w:val="0"/>
          <w:sz w:val="24"/>
          <w:szCs w:val="24"/>
        </w:rPr>
        <w:t>该部分固体废物属于危险废物，废物类别为HW0</w:t>
      </w:r>
      <w:r>
        <w:rPr>
          <w:rFonts w:hint="eastAsia"/>
          <w:b w:val="0"/>
          <w:bCs w:val="0"/>
          <w:sz w:val="24"/>
          <w:szCs w:val="24"/>
          <w:lang w:val="en-US" w:eastAsia="zh-CN"/>
        </w:rPr>
        <w:t>8</w:t>
      </w:r>
      <w:r>
        <w:rPr>
          <w:rFonts w:hint="eastAsia"/>
          <w:b w:val="0"/>
          <w:bCs w:val="0"/>
          <w:sz w:val="24"/>
          <w:szCs w:val="24"/>
        </w:rPr>
        <w:t>，应</w:t>
      </w:r>
      <w:r>
        <w:rPr>
          <w:rFonts w:hint="eastAsia" w:ascii="宋体" w:hAnsi="宋体" w:cs="宋体"/>
          <w:b w:val="0"/>
          <w:bCs w:val="0"/>
          <w:sz w:val="24"/>
          <w:szCs w:val="24"/>
          <w:lang w:val="zh-CN"/>
        </w:rPr>
        <w:t>委托有危险废物处置资质的单位代为处置。</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outlineLvl w:val="9"/>
        <w:rPr>
          <w:rFonts w:hint="eastAsia"/>
          <w:b w:val="0"/>
          <w:bCs w:val="0"/>
          <w:sz w:val="24"/>
          <w:szCs w:val="24"/>
        </w:rPr>
      </w:pPr>
      <w:r>
        <w:rPr>
          <w:rFonts w:hint="eastAsia"/>
          <w:b w:val="0"/>
          <w:bCs w:val="0"/>
          <w:sz w:val="24"/>
          <w:szCs w:val="24"/>
        </w:rPr>
        <w:t>（3）生活垃圾</w:t>
      </w:r>
      <w:r>
        <w:rPr>
          <w:rFonts w:hint="eastAsia"/>
          <w:b w:val="0"/>
          <w:bCs w:val="0"/>
          <w:sz w:val="24"/>
          <w:szCs w:val="24"/>
          <w:lang w:eastAsia="zh-CN"/>
        </w:rPr>
        <w:t>：</w:t>
      </w:r>
      <w:r>
        <w:rPr>
          <w:rFonts w:hint="eastAsia"/>
          <w:b w:val="0"/>
          <w:bCs w:val="0"/>
          <w:sz w:val="24"/>
          <w:szCs w:val="24"/>
        </w:rPr>
        <w:t>生活垃圾年产生量为7.21t/a，统一收集后交由当地环卫部门及时清理。</w:t>
      </w:r>
    </w:p>
    <w:p>
      <w:pPr>
        <w:pStyle w:val="2"/>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val="0"/>
          <w:sz w:val="24"/>
          <w:szCs w:val="24"/>
          <w:lang w:eastAsia="zh-CN"/>
        </w:rPr>
      </w:pPr>
      <w:r>
        <w:rPr>
          <w:rFonts w:hint="default" w:ascii="Times New Roman" w:hAnsi="Times New Roman" w:cs="Times New Roman"/>
          <w:b w:val="0"/>
          <w:bCs w:val="0"/>
          <w:sz w:val="24"/>
          <w:szCs w:val="24"/>
          <w:lang w:eastAsia="zh-CN"/>
        </w:rPr>
        <w:t>（</w:t>
      </w:r>
      <w:r>
        <w:rPr>
          <w:rFonts w:hint="default" w:ascii="Times New Roman" w:hAnsi="Times New Roman" w:cs="Times New Roman"/>
          <w:b w:val="0"/>
          <w:bCs w:val="0"/>
          <w:sz w:val="24"/>
          <w:szCs w:val="24"/>
          <w:lang w:val="en-US" w:eastAsia="zh-CN"/>
        </w:rPr>
        <w:t>4</w:t>
      </w:r>
      <w:r>
        <w:rPr>
          <w:rFonts w:hint="default" w:ascii="Times New Roman" w:hAnsi="Times New Roman" w:cs="Times New Roman"/>
          <w:b w:val="0"/>
          <w:bCs w:val="0"/>
          <w:sz w:val="24"/>
          <w:szCs w:val="24"/>
          <w:lang w:eastAsia="zh-CN"/>
        </w:rPr>
        <w:t>）</w:t>
      </w:r>
      <w:r>
        <w:rPr>
          <w:rFonts w:hint="eastAsia"/>
          <w:b w:val="0"/>
          <w:bCs w:val="0"/>
          <w:sz w:val="24"/>
          <w:szCs w:val="24"/>
          <w:lang w:eastAsia="zh-CN"/>
        </w:rPr>
        <w:t>废沾油纸、抹布：</w:t>
      </w:r>
      <w:r>
        <w:rPr>
          <w:rFonts w:hint="default" w:ascii="Times New Roman" w:hAnsi="Times New Roman" w:cs="Times New Roman"/>
          <w:b w:val="0"/>
          <w:bCs w:val="0"/>
          <w:sz w:val="24"/>
          <w:szCs w:val="24"/>
          <w:lang w:eastAsia="zh-CN"/>
        </w:rPr>
        <w:t>本项目废沾油纸、抹布产生量为</w:t>
      </w:r>
      <w:r>
        <w:rPr>
          <w:rFonts w:hint="default" w:ascii="Times New Roman" w:hAnsi="Times New Roman" w:cs="Times New Roman"/>
          <w:b w:val="0"/>
          <w:bCs w:val="0"/>
          <w:sz w:val="24"/>
          <w:szCs w:val="24"/>
          <w:lang w:val="en-US" w:eastAsia="zh-CN"/>
        </w:rPr>
        <w:t>0.5t/a，</w:t>
      </w:r>
      <w:r>
        <w:rPr>
          <w:rFonts w:hint="default" w:ascii="Times New Roman" w:hAnsi="Times New Roman" w:cs="Times New Roman"/>
          <w:b w:val="0"/>
          <w:bCs w:val="0"/>
          <w:sz w:val="24"/>
          <w:szCs w:val="24"/>
        </w:rPr>
        <w:t>该部分固体废物属于危险废物，废物类别为HW</w:t>
      </w:r>
      <w:r>
        <w:rPr>
          <w:rFonts w:hint="eastAsia" w:ascii="Times New Roman" w:hAnsi="Times New Roman" w:cs="Times New Roman"/>
          <w:b w:val="0"/>
          <w:bCs w:val="0"/>
          <w:sz w:val="24"/>
          <w:szCs w:val="24"/>
          <w:lang w:val="en-US" w:eastAsia="zh-CN"/>
        </w:rPr>
        <w:t>49</w:t>
      </w:r>
      <w:r>
        <w:rPr>
          <w:rFonts w:hint="default" w:ascii="Times New Roman" w:hAnsi="Times New Roman" w:cs="Times New Roman"/>
          <w:b w:val="0"/>
          <w:bCs w:val="0"/>
          <w:sz w:val="24"/>
          <w:szCs w:val="24"/>
        </w:rPr>
        <w:t>，应</w:t>
      </w:r>
      <w:r>
        <w:rPr>
          <w:rFonts w:hint="default" w:ascii="Times New Roman" w:hAnsi="Times New Roman" w:cs="Times New Roman"/>
          <w:b w:val="0"/>
          <w:bCs w:val="0"/>
          <w:sz w:val="24"/>
          <w:szCs w:val="24"/>
          <w:lang w:val="zh-CN"/>
        </w:rPr>
        <w:t>委托有危险废物处置资质的单位代为处置。</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outlineLvl w:val="9"/>
        <w:rPr>
          <w:rFonts w:hint="eastAsia" w:ascii="宋体" w:hAnsi="宋体" w:cs="宋体"/>
          <w:b w:val="0"/>
          <w:bCs w:val="0"/>
          <w:sz w:val="24"/>
          <w:szCs w:val="24"/>
          <w:lang w:val="zh-CN"/>
        </w:rPr>
      </w:pPr>
      <w:r>
        <w:rPr>
          <w:rFonts w:hint="eastAsia"/>
          <w:b w:val="0"/>
          <w:bCs w:val="0"/>
          <w:sz w:val="24"/>
          <w:szCs w:val="24"/>
          <w:lang w:val="zh-CN"/>
        </w:rPr>
        <w:t>（</w:t>
      </w:r>
      <w:r>
        <w:rPr>
          <w:rFonts w:hint="eastAsia"/>
          <w:b w:val="0"/>
          <w:bCs w:val="0"/>
          <w:sz w:val="24"/>
          <w:szCs w:val="24"/>
          <w:lang w:val="en-US" w:eastAsia="zh-CN"/>
        </w:rPr>
        <w:t>5</w:t>
      </w:r>
      <w:r>
        <w:rPr>
          <w:rFonts w:hint="eastAsia"/>
          <w:b w:val="0"/>
          <w:bCs w:val="0"/>
          <w:sz w:val="24"/>
          <w:szCs w:val="24"/>
          <w:lang w:val="zh-CN"/>
        </w:rPr>
        <w:t>）</w:t>
      </w:r>
      <w:r>
        <w:rPr>
          <w:rFonts w:hint="eastAsia"/>
          <w:b w:val="0"/>
          <w:bCs w:val="0"/>
          <w:sz w:val="24"/>
          <w:szCs w:val="24"/>
          <w:lang w:eastAsia="zh-CN"/>
        </w:rPr>
        <w:t>废沾油工具等（计量尺、计量杯）：实验室会使用到计量尺和计量杯等，沾油后的计量尺和计量杯属危险废物，产生量为</w:t>
      </w:r>
      <w:r>
        <w:rPr>
          <w:rFonts w:hint="eastAsia"/>
          <w:b w:val="0"/>
          <w:bCs w:val="0"/>
          <w:sz w:val="24"/>
          <w:szCs w:val="24"/>
          <w:lang w:val="en-US" w:eastAsia="zh-CN"/>
        </w:rPr>
        <w:t>0.2t/a，</w:t>
      </w:r>
      <w:r>
        <w:rPr>
          <w:rFonts w:hint="eastAsia"/>
          <w:b w:val="0"/>
          <w:bCs w:val="0"/>
          <w:sz w:val="24"/>
          <w:szCs w:val="24"/>
        </w:rPr>
        <w:t>废物类别为HW</w:t>
      </w:r>
      <w:r>
        <w:rPr>
          <w:rFonts w:hint="eastAsia"/>
          <w:b w:val="0"/>
          <w:bCs w:val="0"/>
          <w:sz w:val="24"/>
          <w:szCs w:val="24"/>
          <w:lang w:val="en-US" w:eastAsia="zh-CN"/>
        </w:rPr>
        <w:t>49</w:t>
      </w:r>
      <w:r>
        <w:rPr>
          <w:rFonts w:hint="eastAsia"/>
          <w:b w:val="0"/>
          <w:bCs w:val="0"/>
          <w:sz w:val="24"/>
          <w:szCs w:val="24"/>
        </w:rPr>
        <w:t>，应</w:t>
      </w:r>
      <w:r>
        <w:rPr>
          <w:rFonts w:hint="eastAsia" w:ascii="宋体" w:hAnsi="宋体" w:cs="宋体"/>
          <w:b w:val="0"/>
          <w:bCs w:val="0"/>
          <w:sz w:val="24"/>
          <w:szCs w:val="24"/>
          <w:lang w:val="zh-CN"/>
        </w:rPr>
        <w:t>委托有危险废物处置资质的单位代为处置。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b w:val="0"/>
          <w:bCs w:val="0"/>
          <w:sz w:val="24"/>
          <w:szCs w:val="24"/>
          <w:lang w:eastAsia="zh-CN"/>
        </w:rPr>
      </w:pPr>
      <w:r>
        <w:rPr>
          <w:rFonts w:hint="eastAsia"/>
          <w:b w:val="0"/>
          <w:bCs w:val="0"/>
          <w:sz w:val="24"/>
          <w:szCs w:val="24"/>
          <w:lang w:eastAsia="zh-CN"/>
        </w:rPr>
        <w:t>（</w:t>
      </w:r>
      <w:r>
        <w:rPr>
          <w:rFonts w:hint="eastAsia"/>
          <w:b w:val="0"/>
          <w:bCs w:val="0"/>
          <w:sz w:val="24"/>
          <w:szCs w:val="24"/>
          <w:lang w:val="en-US" w:eastAsia="zh-CN"/>
        </w:rPr>
        <w:t>6</w:t>
      </w:r>
      <w:r>
        <w:rPr>
          <w:rFonts w:hint="eastAsia"/>
          <w:b w:val="0"/>
          <w:bCs w:val="0"/>
          <w:sz w:val="24"/>
          <w:szCs w:val="24"/>
          <w:lang w:eastAsia="zh-CN"/>
        </w:rPr>
        <w:t>）实验室废液：</w:t>
      </w:r>
      <w:r>
        <w:rPr>
          <w:rFonts w:hint="default" w:ascii="Times New Roman" w:hAnsi="Times New Roman" w:cs="Times New Roman"/>
          <w:b w:val="0"/>
          <w:bCs w:val="0"/>
          <w:sz w:val="24"/>
          <w:szCs w:val="24"/>
          <w:lang w:eastAsia="zh-CN"/>
        </w:rPr>
        <w:t>实验室废液产生量为</w:t>
      </w:r>
      <w:r>
        <w:rPr>
          <w:rFonts w:hint="default" w:ascii="Times New Roman" w:hAnsi="Times New Roman" w:cs="Times New Roman"/>
          <w:b w:val="0"/>
          <w:bCs w:val="0"/>
          <w:sz w:val="24"/>
          <w:szCs w:val="24"/>
          <w:lang w:val="en-US" w:eastAsia="zh-CN"/>
        </w:rPr>
        <w:t>0.2t/a，</w:t>
      </w:r>
      <w:r>
        <w:rPr>
          <w:rFonts w:hint="default" w:ascii="Times New Roman" w:hAnsi="Times New Roman" w:cs="Times New Roman"/>
          <w:b w:val="0"/>
          <w:bCs w:val="0"/>
          <w:sz w:val="24"/>
          <w:szCs w:val="24"/>
        </w:rPr>
        <w:t>该部分固体废物属于危险废物，废物类别为HW</w:t>
      </w:r>
      <w:r>
        <w:rPr>
          <w:rFonts w:hint="eastAsia" w:ascii="Times New Roman" w:hAnsi="Times New Roman" w:cs="Times New Roman"/>
          <w:b w:val="0"/>
          <w:bCs w:val="0"/>
          <w:sz w:val="24"/>
          <w:szCs w:val="24"/>
          <w:lang w:val="en-US" w:eastAsia="zh-CN"/>
        </w:rPr>
        <w:t>49</w:t>
      </w:r>
      <w:r>
        <w:rPr>
          <w:rFonts w:hint="default" w:ascii="Times New Roman" w:hAnsi="Times New Roman" w:cs="Times New Roman"/>
          <w:b w:val="0"/>
          <w:bCs w:val="0"/>
          <w:sz w:val="24"/>
          <w:szCs w:val="24"/>
        </w:rPr>
        <w:t>，应</w:t>
      </w:r>
      <w:r>
        <w:rPr>
          <w:rFonts w:hint="default" w:ascii="Times New Roman" w:hAnsi="Times New Roman" w:cs="Times New Roman"/>
          <w:b w:val="0"/>
          <w:bCs w:val="0"/>
          <w:sz w:val="24"/>
          <w:szCs w:val="24"/>
          <w:lang w:val="zh-CN"/>
        </w:rPr>
        <w:t>委托有危险废物处置资质的单位代为处置。</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right="0" w:rightChars="0" w:firstLine="480" w:firstLineChars="200"/>
        <w:jc w:val="both"/>
        <w:textAlignment w:val="auto"/>
        <w:outlineLvl w:val="9"/>
        <w:rPr>
          <w:rFonts w:hint="eastAsia" w:hAnsi="宋体"/>
          <w:b w:val="0"/>
          <w:bCs w:val="0"/>
          <w:sz w:val="24"/>
          <w:szCs w:val="24"/>
          <w:highlight w:val="none"/>
        </w:rPr>
      </w:pPr>
      <w:r>
        <w:rPr>
          <w:rFonts w:hint="default" w:ascii="Times New Roman" w:hAnsi="Times New Roman" w:cs="Times New Roman"/>
          <w:b w:val="0"/>
          <w:bCs w:val="0"/>
          <w:sz w:val="24"/>
          <w:szCs w:val="24"/>
          <w:lang w:eastAsia="zh-CN"/>
        </w:rPr>
        <w:t>（</w:t>
      </w:r>
      <w:r>
        <w:rPr>
          <w:rFonts w:hint="eastAsia" w:ascii="Times New Roman" w:hAnsi="Times New Roman" w:cs="Times New Roman"/>
          <w:b w:val="0"/>
          <w:bCs w:val="0"/>
          <w:sz w:val="24"/>
          <w:szCs w:val="24"/>
          <w:lang w:val="en-US" w:eastAsia="zh-CN"/>
        </w:rPr>
        <w:t>7</w:t>
      </w:r>
      <w:r>
        <w:rPr>
          <w:rFonts w:hint="default" w:ascii="Times New Roman" w:hAnsi="Times New Roman" w:cs="Times New Roman"/>
          <w:b w:val="0"/>
          <w:bCs w:val="0"/>
          <w:sz w:val="24"/>
          <w:szCs w:val="24"/>
          <w:lang w:eastAsia="zh-CN"/>
        </w:rPr>
        <w:t>）实验室试剂空瓶</w:t>
      </w:r>
      <w:r>
        <w:rPr>
          <w:rFonts w:hint="eastAsia" w:ascii="Times New Roman" w:hAnsi="Times New Roman" w:cs="Times New Roman"/>
          <w:b w:val="0"/>
          <w:bCs w:val="0"/>
          <w:sz w:val="24"/>
          <w:szCs w:val="24"/>
          <w:lang w:eastAsia="zh-CN"/>
        </w:rPr>
        <w:t>：</w:t>
      </w:r>
      <w:r>
        <w:rPr>
          <w:rFonts w:hint="eastAsia"/>
          <w:b w:val="0"/>
          <w:bCs w:val="0"/>
          <w:sz w:val="24"/>
          <w:szCs w:val="24"/>
          <w:lang w:eastAsia="zh-CN"/>
        </w:rPr>
        <w:t>实验室试剂空瓶产生</w:t>
      </w:r>
      <w:r>
        <w:rPr>
          <w:rFonts w:hint="default" w:ascii="Times New Roman" w:hAnsi="Times New Roman" w:cs="Times New Roman"/>
          <w:b w:val="0"/>
          <w:bCs w:val="0"/>
          <w:sz w:val="24"/>
          <w:szCs w:val="24"/>
          <w:lang w:eastAsia="zh-CN"/>
        </w:rPr>
        <w:t>量为</w:t>
      </w:r>
      <w:r>
        <w:rPr>
          <w:rFonts w:hint="default" w:ascii="Times New Roman" w:hAnsi="Times New Roman" w:cs="Times New Roman"/>
          <w:b w:val="0"/>
          <w:bCs w:val="0"/>
          <w:sz w:val="24"/>
          <w:szCs w:val="24"/>
          <w:lang w:val="en-US" w:eastAsia="zh-CN"/>
        </w:rPr>
        <w:t>0.2t/a，</w:t>
      </w:r>
      <w:r>
        <w:rPr>
          <w:rFonts w:hint="default" w:ascii="Times New Roman" w:hAnsi="Times New Roman" w:cs="Times New Roman"/>
          <w:b w:val="0"/>
          <w:bCs w:val="0"/>
          <w:sz w:val="24"/>
          <w:szCs w:val="24"/>
        </w:rPr>
        <w:t>该部分固体废物属于危险废物，废物类别为HW</w:t>
      </w:r>
      <w:r>
        <w:rPr>
          <w:rFonts w:hint="eastAsia" w:ascii="Times New Roman" w:hAnsi="Times New Roman" w:cs="Times New Roman"/>
          <w:b w:val="0"/>
          <w:bCs w:val="0"/>
          <w:sz w:val="24"/>
          <w:szCs w:val="24"/>
          <w:lang w:val="en-US" w:eastAsia="zh-CN"/>
        </w:rPr>
        <w:t>49</w:t>
      </w:r>
      <w:r>
        <w:rPr>
          <w:rFonts w:hint="default" w:ascii="Times New Roman" w:hAnsi="Times New Roman" w:cs="Times New Roman"/>
          <w:b w:val="0"/>
          <w:bCs w:val="0"/>
          <w:sz w:val="24"/>
          <w:szCs w:val="24"/>
        </w:rPr>
        <w:t>，应</w:t>
      </w:r>
      <w:r>
        <w:rPr>
          <w:rFonts w:hint="default" w:ascii="Times New Roman" w:hAnsi="Times New Roman" w:cs="Times New Roman"/>
          <w:b w:val="0"/>
          <w:bCs w:val="0"/>
          <w:sz w:val="24"/>
          <w:szCs w:val="24"/>
          <w:lang w:val="zh-CN"/>
        </w:rPr>
        <w:t>委托有危险废物处置资质的单位代为处置</w:t>
      </w:r>
      <w:r>
        <w:rPr>
          <w:rFonts w:hint="default" w:ascii="Times New Roman" w:hAnsi="Times New Roman" w:cs="Times New Roman"/>
          <w:b w:val="0"/>
          <w:bCs w:val="0"/>
          <w:sz w:val="24"/>
          <w:szCs w:val="24"/>
          <w:highlight w:val="none"/>
          <w:lang w:val="zh-CN"/>
        </w:rPr>
        <w:t>。</w:t>
      </w:r>
    </w:p>
    <w:p>
      <w:pPr>
        <w:pStyle w:val="22"/>
        <w:keepNext w:val="0"/>
        <w:keepLines w:val="0"/>
        <w:pageBreakBefore w:val="0"/>
        <w:widowControl w:val="0"/>
        <w:kinsoku/>
        <w:wordWrap/>
        <w:overflowPunct/>
        <w:topLinePunct w:val="0"/>
        <w:autoSpaceDE/>
        <w:autoSpaceDN/>
        <w:bidi w:val="0"/>
        <w:adjustRightInd/>
        <w:snapToGrid/>
        <w:spacing w:before="0" w:beforeLines="0" w:after="0" w:afterLines="0"/>
        <w:textAlignment w:val="auto"/>
        <w:outlineLvl w:val="1"/>
        <w:rPr>
          <w:rFonts w:hint="eastAsia" w:ascii="Times New Roman" w:hAnsi="Times New Roman" w:eastAsia="宋体" w:cs="Times New Roman"/>
          <w:highlight w:val="none"/>
          <w:lang w:val="en-US" w:eastAsia="zh-CN"/>
        </w:rPr>
      </w:pPr>
      <w:bookmarkStart w:id="36" w:name="_Toc2954"/>
      <w:r>
        <w:rPr>
          <w:rFonts w:hint="eastAsia" w:ascii="Times New Roman" w:hAnsi="Times New Roman" w:eastAsia="宋体" w:cs="Times New Roman"/>
          <w:highlight w:val="none"/>
          <w:lang w:val="en-US" w:eastAsia="zh-CN"/>
        </w:rPr>
        <w:t>3.1</w:t>
      </w:r>
      <w:r>
        <w:rPr>
          <w:rFonts w:hint="default" w:ascii="Times New Roman" w:hAnsi="Times New Roman" w:eastAsia="宋体" w:cs="Times New Roman"/>
          <w:highlight w:val="none"/>
          <w:lang w:val="en-US" w:eastAsia="zh-CN"/>
        </w:rPr>
        <w:t>.</w:t>
      </w:r>
      <w:r>
        <w:rPr>
          <w:rFonts w:hint="eastAsia" w:ascii="Times New Roman" w:hAnsi="Times New Roman" w:eastAsia="宋体" w:cs="Times New Roman"/>
          <w:highlight w:val="none"/>
          <w:lang w:val="en-US" w:eastAsia="zh-CN"/>
        </w:rPr>
        <w:t>6自然概况</w:t>
      </w:r>
      <w:bookmarkEnd w:id="3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default"/>
          <w:b w:val="0"/>
          <w:bCs w:val="0"/>
          <w:sz w:val="24"/>
          <w:highlight w:val="none"/>
        </w:rPr>
      </w:pPr>
      <w:bookmarkStart w:id="37" w:name="_Toc11770"/>
      <w:r>
        <w:rPr>
          <w:rFonts w:hint="eastAsia"/>
          <w:b w:val="0"/>
          <w:bCs w:val="0"/>
          <w:sz w:val="24"/>
          <w:highlight w:val="none"/>
          <w:lang w:val="en-US" w:eastAsia="zh-CN"/>
        </w:rPr>
        <w:t>1、</w:t>
      </w:r>
      <w:r>
        <w:rPr>
          <w:rFonts w:hint="default"/>
          <w:b w:val="0"/>
          <w:bCs w:val="0"/>
          <w:sz w:val="24"/>
          <w:highlight w:val="none"/>
        </w:rPr>
        <w:t>地形、地貌</w:t>
      </w:r>
      <w:bookmarkEnd w:id="3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highlight w:val="none"/>
          <w:lang w:val="zh-CN"/>
        </w:rPr>
      </w:pPr>
      <w:r>
        <w:rPr>
          <w:rFonts w:hint="eastAsia"/>
          <w:b w:val="0"/>
          <w:bCs w:val="0"/>
          <w:sz w:val="24"/>
          <w:highlight w:val="none"/>
          <w:lang w:val="zh-CN"/>
        </w:rPr>
        <w:t>九江地势地貌较为复杂，呈东西高，中部低，南部略高，向北倾斜的趋势，主要以江南丘陵为主，形成以丘陵、山地、滨湖平原、沿江平原等多元化地形地貌综合体。平均海拔32米（市区海拔20米），九岭山海拨1794米，为九江境内最高点，濂溪区姑塘镇邓桥村化纤厂码头蛤蟆石附近的鄱阳湖底，海拔-9.37米，为九江境内最低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 w:val="0"/>
          <w:bCs w:val="0"/>
          <w:sz w:val="24"/>
          <w:highlight w:val="none"/>
          <w:lang w:val="zh-CN"/>
        </w:rPr>
      </w:pPr>
      <w:r>
        <w:rPr>
          <w:rFonts w:hint="eastAsia"/>
          <w:b w:val="0"/>
          <w:bCs w:val="0"/>
          <w:sz w:val="24"/>
          <w:highlight w:val="none"/>
          <w:lang w:val="zh-CN"/>
        </w:rPr>
        <w:t>九江总面积18823平方公里，山地占总面积的16.4%，丘陵占44.5%，湖泊占18%，耕地365.22万亩，俗称“六山二水分半田，半分道路和庄园”。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default" w:ascii="Times New Roman" w:hAnsi="Times New Roman" w:eastAsia="宋体" w:cs="Times New Roman"/>
          <w:b w:val="0"/>
          <w:bCs w:val="0"/>
          <w:sz w:val="24"/>
          <w:highlight w:val="none"/>
          <w:lang w:val="zh-CN"/>
        </w:rPr>
      </w:pPr>
      <w:bookmarkStart w:id="38" w:name="_Toc28177"/>
      <w:r>
        <w:rPr>
          <w:rFonts w:hint="eastAsia" w:ascii="Times New Roman" w:hAnsi="Times New Roman" w:eastAsia="宋体" w:cs="Times New Roman"/>
          <w:b w:val="0"/>
          <w:bCs w:val="0"/>
          <w:sz w:val="24"/>
          <w:highlight w:val="none"/>
          <w:lang w:val="en-US" w:eastAsia="zh-CN"/>
        </w:rPr>
        <w:t>2、</w:t>
      </w:r>
      <w:r>
        <w:rPr>
          <w:rFonts w:hint="default" w:ascii="Times New Roman" w:hAnsi="Times New Roman" w:eastAsia="宋体" w:cs="Times New Roman"/>
          <w:b w:val="0"/>
          <w:bCs w:val="0"/>
          <w:sz w:val="24"/>
          <w:highlight w:val="none"/>
          <w:lang w:val="zh-CN"/>
        </w:rPr>
        <w:t>气象、气候</w:t>
      </w:r>
      <w:bookmarkEnd w:id="38"/>
    </w:p>
    <w:p>
      <w:pPr>
        <w:keepNext w:val="0"/>
        <w:keepLines w:val="0"/>
        <w:pageBreakBefore w:val="0"/>
        <w:widowControl w:val="0"/>
        <w:tabs>
          <w:tab w:val="left" w:pos="3705"/>
          <w:tab w:val="left" w:pos="4680"/>
        </w:tabs>
        <w:kinsoku/>
        <w:wordWrap/>
        <w:overflowPunct/>
        <w:topLinePunct w:val="0"/>
        <w:autoSpaceDE/>
        <w:autoSpaceDN/>
        <w:bidi w:val="0"/>
        <w:adjustRightInd/>
        <w:snapToGrid/>
        <w:spacing w:line="360" w:lineRule="auto"/>
        <w:ind w:firstLine="480" w:firstLineChars="200"/>
        <w:textAlignment w:val="auto"/>
        <w:rPr>
          <w:b w:val="0"/>
          <w:bCs w:val="0"/>
          <w:sz w:val="24"/>
          <w:highlight w:val="none"/>
          <w:lang w:val="zh-CN"/>
        </w:rPr>
      </w:pPr>
      <w:r>
        <w:rPr>
          <w:rFonts w:hint="eastAsia"/>
          <w:b w:val="0"/>
          <w:bCs w:val="0"/>
          <w:sz w:val="24"/>
          <w:highlight w:val="none"/>
          <w:lang w:val="zh-CN"/>
        </w:rPr>
        <w:t>九江地处亚热带季风气候区，年平均气温16-17℃，年降雨量1300-1600毫米，其中40%以上集中在第二季度；年无霜期239-266天，年平均雾日在16天以下。九江春季回暖较早，但天气易变，乍暖乍寒；从初夏到6、7月的梅雨期间，降雨集中，大、暴雨频繁，5、6月份的常年平均降水量有200毫米左右，极易导致洪涝灾害的发生；出梅后受副热带高压控制，天气往往晴热干燥，不少年份高于摄氏35度的高温日长达20多天；秋季气温较为温和且雨水少；冬季阴冷但霜冻期短，不过随着温室效应，暖冬现象明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default" w:ascii="Times New Roman" w:hAnsi="Times New Roman" w:eastAsia="宋体" w:cs="Times New Roman"/>
          <w:b w:val="0"/>
          <w:bCs w:val="0"/>
          <w:sz w:val="24"/>
          <w:highlight w:val="none"/>
          <w:lang w:val="zh-CN"/>
        </w:rPr>
      </w:pPr>
      <w:bookmarkStart w:id="39" w:name="_Toc30410"/>
      <w:r>
        <w:rPr>
          <w:rFonts w:hint="eastAsia" w:ascii="Times New Roman" w:hAnsi="Times New Roman" w:eastAsia="宋体" w:cs="Times New Roman"/>
          <w:b w:val="0"/>
          <w:bCs w:val="0"/>
          <w:sz w:val="24"/>
          <w:highlight w:val="none"/>
          <w:lang w:val="en-US" w:eastAsia="zh-CN"/>
        </w:rPr>
        <w:t>3、</w:t>
      </w:r>
      <w:r>
        <w:rPr>
          <w:rFonts w:hint="default" w:ascii="Times New Roman" w:hAnsi="Times New Roman" w:eastAsia="宋体" w:cs="Times New Roman"/>
          <w:b w:val="0"/>
          <w:bCs w:val="0"/>
          <w:sz w:val="24"/>
          <w:highlight w:val="none"/>
          <w:lang w:val="zh-CN"/>
        </w:rPr>
        <w:t>水文特征</w:t>
      </w:r>
      <w:bookmarkEnd w:id="39"/>
    </w:p>
    <w:p>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highlight w:val="none"/>
        </w:rPr>
      </w:pPr>
      <w:r>
        <w:rPr>
          <w:rFonts w:hint="default" w:ascii="Times New Roman" w:hAnsi="Times New Roman" w:eastAsia="宋体" w:cs="Times New Roman"/>
          <w:b w:val="0"/>
          <w:bCs w:val="0"/>
          <w:highlight w:val="none"/>
        </w:rPr>
        <w:t>九江是座靠水的港口名城，水资源十分丰富，地表水资源136.5亿立方米，水资源总量141.8亿立方米，可开发的水力资源32.9万千瓦。长江过境长度151公里，年流量8900亿立方米，直入长江的河流流域面积3904平方公里。</w:t>
      </w:r>
    </w:p>
    <w:p>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highlight w:val="none"/>
        </w:rPr>
      </w:pPr>
      <w:r>
        <w:rPr>
          <w:rFonts w:hint="default" w:ascii="Times New Roman" w:hAnsi="Times New Roman" w:eastAsia="宋体" w:cs="Times New Roman"/>
          <w:b w:val="0"/>
          <w:bCs w:val="0"/>
          <w:highlight w:val="none"/>
        </w:rPr>
        <w:t>境内主要有修河、博阳河、长江三大水系，万亩以上湖泊有10个，千亩以上31个，全省最大的柘林水库库容达79.2亿立方米。中国第一大淡水湖鄱阳湖是省内诸河入长江的总通道，又是庐山西海水量的调节器，有70%的水域在九江境内，面积近300万亩，沿湖12个县区，其中九江有6个。</w:t>
      </w:r>
    </w:p>
    <w:p>
      <w:pPr>
        <w:pStyle w:val="22"/>
        <w:keepNext w:val="0"/>
        <w:keepLines w:val="0"/>
        <w:pageBreakBefore w:val="0"/>
        <w:widowControl w:val="0"/>
        <w:kinsoku/>
        <w:wordWrap/>
        <w:overflowPunct/>
        <w:topLinePunct w:val="0"/>
        <w:autoSpaceDE/>
        <w:autoSpaceDN/>
        <w:bidi w:val="0"/>
        <w:adjustRightInd/>
        <w:snapToGrid/>
        <w:spacing w:before="0" w:beforeLines="0" w:after="0" w:afterLines="0"/>
        <w:textAlignment w:val="auto"/>
        <w:outlineLvl w:val="1"/>
        <w:rPr>
          <w:rFonts w:hint="eastAsia" w:ascii="Times New Roman" w:hAnsi="Times New Roman" w:eastAsia="宋体" w:cs="Times New Roman"/>
          <w:highlight w:val="none"/>
          <w:lang w:val="en-US" w:eastAsia="zh-CN"/>
        </w:rPr>
      </w:pPr>
      <w:bookmarkStart w:id="40" w:name="_Toc1046"/>
      <w:r>
        <w:rPr>
          <w:rFonts w:hint="eastAsia" w:ascii="Times New Roman" w:hAnsi="Times New Roman" w:eastAsia="宋体" w:cs="Times New Roman"/>
          <w:highlight w:val="none"/>
          <w:lang w:val="en-US" w:eastAsia="zh-CN"/>
        </w:rPr>
        <w:t>3.1</w:t>
      </w:r>
      <w:r>
        <w:rPr>
          <w:rFonts w:hint="default" w:ascii="Times New Roman" w:hAnsi="Times New Roman" w:eastAsia="宋体" w:cs="Times New Roman"/>
          <w:highlight w:val="none"/>
          <w:lang w:val="en-US" w:eastAsia="zh-CN"/>
        </w:rPr>
        <w:t>.</w:t>
      </w:r>
      <w:r>
        <w:rPr>
          <w:rFonts w:hint="eastAsia" w:ascii="Times New Roman" w:hAnsi="Times New Roman" w:eastAsia="宋体" w:cs="Times New Roman"/>
          <w:highlight w:val="none"/>
          <w:lang w:val="en-US" w:eastAsia="zh-CN"/>
        </w:rPr>
        <w:t>7环境功能区规划</w:t>
      </w:r>
      <w:bookmarkEnd w:id="4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本公司所在区域环境功能区见表3.1-</w:t>
      </w:r>
      <w:r>
        <w:rPr>
          <w:rFonts w:hint="eastAsia"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w:t>
      </w:r>
    </w:p>
    <w:p>
      <w:pPr>
        <w:pStyle w:val="27"/>
        <w:keepNext w:val="0"/>
        <w:keepLines w:val="0"/>
        <w:pageBreakBefore w:val="0"/>
        <w:widowControl/>
        <w:kinsoku/>
        <w:wordWrap/>
        <w:overflowPunct/>
        <w:topLinePunct w:val="0"/>
        <w:autoSpaceDE/>
        <w:autoSpaceDN/>
        <w:bidi w:val="0"/>
        <w:adjustRightInd/>
        <w:snapToGrid/>
        <w:spacing w:before="0" w:beforeLines="0" w:line="360" w:lineRule="auto"/>
        <w:ind w:firstLine="0"/>
        <w:textAlignment w:val="auto"/>
        <w:rPr>
          <w:rFonts w:hint="eastAsia" w:ascii="Times New Roman" w:hAnsi="Times New Roman" w:eastAsia="宋体" w:cs="Times New Roman"/>
          <w:color w:val="auto"/>
          <w:szCs w:val="28"/>
          <w:highlight w:val="none"/>
          <w:lang w:eastAsia="zh-CN"/>
        </w:rPr>
      </w:pPr>
      <w:r>
        <w:rPr>
          <w:rFonts w:hint="default" w:ascii="Times New Roman" w:hAnsi="Times New Roman" w:eastAsia="宋体" w:cs="Times New Roman"/>
          <w:color w:val="auto"/>
          <w:szCs w:val="28"/>
          <w:highlight w:val="none"/>
        </w:rPr>
        <w:t>表</w:t>
      </w:r>
      <w:r>
        <w:rPr>
          <w:rFonts w:hint="eastAsia" w:cs="Times New Roman"/>
          <w:color w:val="auto"/>
          <w:highlight w:val="none"/>
          <w:lang w:val="en-US" w:eastAsia="zh-CN"/>
        </w:rPr>
        <w:t>3</w:t>
      </w:r>
      <w:r>
        <w:rPr>
          <w:rFonts w:hint="default" w:ascii="Times New Roman" w:hAnsi="Times New Roman" w:eastAsia="宋体" w:cs="Times New Roman"/>
          <w:color w:val="auto"/>
          <w:highlight w:val="none"/>
        </w:rPr>
        <w:t>.1-</w:t>
      </w: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val="en-US" w:eastAsia="zh-CN"/>
        </w:rPr>
        <w:t xml:space="preserve">  项目所在区域环境功能属性表</w:t>
      </w:r>
    </w:p>
    <w:tbl>
      <w:tblPr>
        <w:tblStyle w:val="15"/>
        <w:tblW w:w="826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3"/>
        <w:gridCol w:w="2813"/>
        <w:gridCol w:w="47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tcBorders>
              <w:tl2br w:val="nil"/>
              <w:tr2bl w:val="nil"/>
            </w:tcBorders>
            <w:noWrap w:val="0"/>
            <w:vAlign w:val="center"/>
          </w:tcPr>
          <w:p>
            <w:pPr>
              <w:pStyle w:val="28"/>
              <w:rPr>
                <w:rFonts w:hint="default" w:ascii="Times New Roman" w:hAnsi="Times New Roman" w:eastAsia="宋体" w:cs="Times New Roman"/>
                <w:b/>
                <w:bCs/>
                <w:sz w:val="21"/>
                <w:szCs w:val="21"/>
                <w:highlight w:val="none"/>
                <w:lang w:eastAsia="zh-CN"/>
              </w:rPr>
            </w:pPr>
            <w:r>
              <w:rPr>
                <w:rFonts w:hint="default" w:ascii="Times New Roman" w:hAnsi="Times New Roman" w:cs="Times New Roman"/>
                <w:b/>
                <w:bCs/>
                <w:sz w:val="21"/>
                <w:szCs w:val="21"/>
                <w:highlight w:val="none"/>
                <w:lang w:eastAsia="zh-CN"/>
              </w:rPr>
              <w:t>序号</w:t>
            </w:r>
          </w:p>
        </w:tc>
        <w:tc>
          <w:tcPr>
            <w:tcW w:w="2813" w:type="dxa"/>
            <w:tcBorders>
              <w:tl2br w:val="nil"/>
              <w:tr2bl w:val="nil"/>
            </w:tcBorders>
            <w:noWrap w:val="0"/>
            <w:vAlign w:val="center"/>
          </w:tcPr>
          <w:p>
            <w:pPr>
              <w:pStyle w:val="28"/>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项目</w:t>
            </w:r>
          </w:p>
        </w:tc>
        <w:tc>
          <w:tcPr>
            <w:tcW w:w="4733" w:type="dxa"/>
            <w:tcBorders>
              <w:tl2br w:val="nil"/>
              <w:tr2bl w:val="nil"/>
            </w:tcBorders>
            <w:noWrap w:val="0"/>
            <w:vAlign w:val="center"/>
          </w:tcPr>
          <w:p>
            <w:pPr>
              <w:pStyle w:val="28"/>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功能属性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tcBorders>
              <w:tl2br w:val="nil"/>
              <w:tr2bl w:val="nil"/>
            </w:tcBorders>
            <w:noWrap w:val="0"/>
            <w:vAlign w:val="center"/>
          </w:tcPr>
          <w:p>
            <w:pPr>
              <w:pStyle w:val="28"/>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p>
        </w:tc>
        <w:tc>
          <w:tcPr>
            <w:tcW w:w="2813" w:type="dxa"/>
            <w:tcBorders>
              <w:tl2br w:val="nil"/>
              <w:tr2bl w:val="nil"/>
            </w:tcBorders>
            <w:noWrap w:val="0"/>
            <w:vAlign w:val="center"/>
          </w:tcPr>
          <w:p>
            <w:pPr>
              <w:pStyle w:val="28"/>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环境空气</w:t>
            </w:r>
          </w:p>
        </w:tc>
        <w:tc>
          <w:tcPr>
            <w:tcW w:w="4733" w:type="dxa"/>
            <w:tcBorders>
              <w:tl2br w:val="nil"/>
              <w:tr2bl w:val="nil"/>
            </w:tcBorders>
            <w:noWrap w:val="0"/>
            <w:vAlign w:val="center"/>
          </w:tcPr>
          <w:p>
            <w:pPr>
              <w:pStyle w:val="28"/>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属</w:t>
            </w:r>
            <w:r>
              <w:rPr>
                <w:rFonts w:hint="default" w:ascii="Times New Roman" w:hAnsi="Times New Roman" w:cs="Times New Roman"/>
                <w:sz w:val="21"/>
                <w:szCs w:val="21"/>
                <w:highlight w:val="none"/>
                <w:lang w:val="en-US" w:eastAsia="zh-CN"/>
              </w:rPr>
              <w:t>二</w:t>
            </w:r>
            <w:r>
              <w:rPr>
                <w:rFonts w:hint="default" w:ascii="Times New Roman" w:hAnsi="Times New Roman" w:cs="Times New Roman"/>
                <w:sz w:val="21"/>
                <w:szCs w:val="21"/>
                <w:highlight w:val="none"/>
              </w:rPr>
              <w:t>类区，执行《环境空气质量标准》（GB3095-2012）中</w:t>
            </w:r>
            <w:r>
              <w:rPr>
                <w:rFonts w:hint="default" w:ascii="Times New Roman" w:hAnsi="Times New Roman" w:cs="Times New Roman"/>
                <w:sz w:val="21"/>
                <w:szCs w:val="21"/>
                <w:highlight w:val="none"/>
                <w:lang w:eastAsia="zh-CN"/>
              </w:rPr>
              <w:t>二</w:t>
            </w:r>
            <w:r>
              <w:rPr>
                <w:rFonts w:hint="default" w:ascii="Times New Roman" w:hAnsi="Times New Roman" w:cs="Times New Roman"/>
                <w:sz w:val="21"/>
                <w:szCs w:val="21"/>
                <w:highlight w:val="none"/>
              </w:rPr>
              <w:t>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tcBorders>
              <w:tl2br w:val="nil"/>
              <w:tr2bl w:val="nil"/>
            </w:tcBorders>
            <w:noWrap w:val="0"/>
            <w:vAlign w:val="center"/>
          </w:tcPr>
          <w:p>
            <w:pPr>
              <w:pStyle w:val="28"/>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w:t>
            </w:r>
          </w:p>
        </w:tc>
        <w:tc>
          <w:tcPr>
            <w:tcW w:w="2813" w:type="dxa"/>
            <w:tcBorders>
              <w:tl2br w:val="nil"/>
              <w:tr2bl w:val="nil"/>
            </w:tcBorders>
            <w:noWrap w:val="0"/>
            <w:vAlign w:val="center"/>
          </w:tcPr>
          <w:p>
            <w:pPr>
              <w:pStyle w:val="28"/>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水环境</w:t>
            </w:r>
          </w:p>
        </w:tc>
        <w:tc>
          <w:tcPr>
            <w:tcW w:w="4733" w:type="dxa"/>
            <w:tcBorders>
              <w:tl2br w:val="nil"/>
              <w:tr2bl w:val="nil"/>
            </w:tcBorders>
            <w:noWrap w:val="0"/>
            <w:vAlign w:val="center"/>
          </w:tcPr>
          <w:p>
            <w:pPr>
              <w:pStyle w:val="28"/>
              <w:rPr>
                <w:rFonts w:hint="default" w:ascii="Times New Roman" w:hAnsi="Times New Roman" w:cs="Times New Roman"/>
                <w:sz w:val="21"/>
                <w:szCs w:val="21"/>
                <w:highlight w:val="none"/>
              </w:rPr>
            </w:pPr>
            <w:r>
              <w:rPr>
                <w:rFonts w:hint="default" w:ascii="Times New Roman" w:hAnsi="Times New Roman" w:cs="Times New Roman"/>
                <w:kern w:val="0"/>
                <w:sz w:val="21"/>
                <w:szCs w:val="21"/>
                <w:highlight w:val="none"/>
              </w:rPr>
              <w:t>执行《</w:t>
            </w:r>
            <w:r>
              <w:rPr>
                <w:rFonts w:hint="default" w:ascii="Times New Roman" w:hAnsi="Times New Roman" w:cs="Times New Roman"/>
                <w:sz w:val="21"/>
                <w:szCs w:val="21"/>
                <w:highlight w:val="none"/>
              </w:rPr>
              <w:t>地表水环境质量标准</w:t>
            </w:r>
            <w:r>
              <w:rPr>
                <w:rFonts w:hint="default" w:ascii="Times New Roman" w:hAnsi="Times New Roman" w:cs="Times New Roman"/>
                <w:kern w:val="0"/>
                <w:sz w:val="21"/>
                <w:szCs w:val="21"/>
                <w:highlight w:val="none"/>
              </w:rPr>
              <w:t>》</w:t>
            </w:r>
            <w:r>
              <w:rPr>
                <w:rFonts w:hint="default" w:ascii="Times New Roman" w:hAnsi="Times New Roman" w:cs="Times New Roman"/>
                <w:sz w:val="21"/>
                <w:szCs w:val="21"/>
                <w:highlight w:val="none"/>
              </w:rPr>
              <w:t>（GB3</w:t>
            </w:r>
            <w:r>
              <w:rPr>
                <w:rFonts w:hint="default" w:ascii="Times New Roman" w:hAnsi="Times New Roman" w:cs="Times New Roman"/>
                <w:sz w:val="21"/>
                <w:szCs w:val="21"/>
                <w:highlight w:val="none"/>
                <w:lang w:val="en-US" w:eastAsia="zh-CN"/>
              </w:rPr>
              <w:t>838</w:t>
            </w:r>
            <w:r>
              <w:rPr>
                <w:rFonts w:hint="default" w:ascii="Times New Roman" w:hAnsi="Times New Roman" w:cs="Times New Roman"/>
                <w:sz w:val="21"/>
                <w:szCs w:val="21"/>
                <w:highlight w:val="none"/>
              </w:rPr>
              <w:t>-</w:t>
            </w:r>
            <w:r>
              <w:rPr>
                <w:rFonts w:hint="default" w:ascii="Times New Roman" w:hAnsi="Times New Roman" w:cs="Times New Roman"/>
                <w:sz w:val="21"/>
                <w:szCs w:val="21"/>
                <w:highlight w:val="none"/>
                <w:lang w:val="en-US" w:eastAsia="zh-CN"/>
              </w:rPr>
              <w:t>2002</w:t>
            </w:r>
            <w:r>
              <w:rPr>
                <w:rFonts w:hint="default" w:ascii="Times New Roman" w:hAnsi="Times New Roman" w:cs="Times New Roman"/>
                <w:sz w:val="21"/>
                <w:szCs w:val="21"/>
                <w:highlight w:val="none"/>
              </w:rPr>
              <w:t>）中的第Ⅲ类标准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tcBorders>
              <w:tl2br w:val="nil"/>
              <w:tr2bl w:val="nil"/>
            </w:tcBorders>
            <w:noWrap w:val="0"/>
            <w:vAlign w:val="center"/>
          </w:tcPr>
          <w:p>
            <w:pPr>
              <w:pStyle w:val="28"/>
              <w:rPr>
                <w:rFonts w:hint="default" w:ascii="Times New Roman" w:hAnsi="Times New Roman" w:cs="Times New Roman"/>
                <w:sz w:val="21"/>
                <w:szCs w:val="21"/>
              </w:rPr>
            </w:pPr>
            <w:r>
              <w:rPr>
                <w:rFonts w:hint="default" w:ascii="Times New Roman" w:hAnsi="Times New Roman" w:cs="Times New Roman"/>
                <w:sz w:val="21"/>
                <w:szCs w:val="21"/>
              </w:rPr>
              <w:t>3</w:t>
            </w:r>
          </w:p>
        </w:tc>
        <w:tc>
          <w:tcPr>
            <w:tcW w:w="2813" w:type="dxa"/>
            <w:tcBorders>
              <w:tl2br w:val="nil"/>
              <w:tr2bl w:val="nil"/>
            </w:tcBorders>
            <w:noWrap w:val="0"/>
            <w:vAlign w:val="center"/>
          </w:tcPr>
          <w:p>
            <w:pPr>
              <w:pStyle w:val="28"/>
              <w:rPr>
                <w:rFonts w:hint="default" w:ascii="Times New Roman" w:hAnsi="Times New Roman" w:cs="Times New Roman"/>
                <w:sz w:val="21"/>
                <w:szCs w:val="21"/>
              </w:rPr>
            </w:pPr>
            <w:r>
              <w:rPr>
                <w:rFonts w:hint="default" w:ascii="Times New Roman" w:hAnsi="Times New Roman" w:cs="Times New Roman"/>
                <w:sz w:val="21"/>
                <w:szCs w:val="21"/>
              </w:rPr>
              <w:t>地下水环境</w:t>
            </w:r>
          </w:p>
        </w:tc>
        <w:tc>
          <w:tcPr>
            <w:tcW w:w="4733" w:type="dxa"/>
            <w:tcBorders>
              <w:tl2br w:val="nil"/>
              <w:tr2bl w:val="nil"/>
            </w:tcBorders>
            <w:noWrap w:val="0"/>
            <w:vAlign w:val="center"/>
          </w:tcPr>
          <w:p>
            <w:pPr>
              <w:pStyle w:val="28"/>
              <w:rPr>
                <w:rFonts w:hint="default" w:ascii="Times New Roman" w:hAnsi="Times New Roman" w:cs="Times New Roman"/>
                <w:sz w:val="21"/>
                <w:szCs w:val="21"/>
              </w:rPr>
            </w:pPr>
            <w:r>
              <w:rPr>
                <w:rFonts w:hint="default" w:ascii="Times New Roman" w:hAnsi="Times New Roman" w:cs="Times New Roman"/>
                <w:sz w:val="21"/>
                <w:szCs w:val="21"/>
              </w:rPr>
              <w:t>执行</w:t>
            </w:r>
            <w:r>
              <w:rPr>
                <w:rFonts w:hint="default" w:ascii="Times New Roman" w:hAnsi="Times New Roman" w:eastAsia="宋体" w:cs="Times New Roman"/>
                <w:sz w:val="21"/>
                <w:szCs w:val="21"/>
                <w:highlight w:val="none"/>
              </w:rPr>
              <w:t>《地下水环境质量标准》（GB/T14848-2017）中的Ⅲ类标准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tcBorders>
              <w:tl2br w:val="nil"/>
              <w:tr2bl w:val="nil"/>
            </w:tcBorders>
            <w:noWrap w:val="0"/>
            <w:vAlign w:val="center"/>
          </w:tcPr>
          <w:p>
            <w:pPr>
              <w:pStyle w:val="28"/>
              <w:rPr>
                <w:rFonts w:hint="default" w:ascii="Times New Roman" w:hAnsi="Times New Roman" w:cs="Times New Roman"/>
                <w:sz w:val="21"/>
                <w:szCs w:val="21"/>
              </w:rPr>
            </w:pPr>
            <w:r>
              <w:rPr>
                <w:rFonts w:hint="default" w:ascii="Times New Roman" w:hAnsi="Times New Roman" w:cs="Times New Roman"/>
                <w:sz w:val="21"/>
                <w:szCs w:val="21"/>
              </w:rPr>
              <w:t>4</w:t>
            </w:r>
          </w:p>
        </w:tc>
        <w:tc>
          <w:tcPr>
            <w:tcW w:w="2813" w:type="dxa"/>
            <w:tcBorders>
              <w:tl2br w:val="nil"/>
              <w:tr2bl w:val="nil"/>
            </w:tcBorders>
            <w:noWrap w:val="0"/>
            <w:vAlign w:val="center"/>
          </w:tcPr>
          <w:p>
            <w:pPr>
              <w:pStyle w:val="28"/>
              <w:rPr>
                <w:rFonts w:hint="default" w:ascii="Times New Roman" w:hAnsi="Times New Roman" w:cs="Times New Roman"/>
                <w:sz w:val="21"/>
                <w:szCs w:val="21"/>
              </w:rPr>
            </w:pPr>
            <w:r>
              <w:rPr>
                <w:rFonts w:hint="default" w:ascii="Times New Roman" w:hAnsi="Times New Roman" w:cs="Times New Roman"/>
                <w:sz w:val="21"/>
                <w:szCs w:val="21"/>
              </w:rPr>
              <w:t>声环境</w:t>
            </w:r>
          </w:p>
        </w:tc>
        <w:tc>
          <w:tcPr>
            <w:tcW w:w="4733" w:type="dxa"/>
            <w:tcBorders>
              <w:tl2br w:val="nil"/>
              <w:tr2bl w:val="nil"/>
            </w:tcBorders>
            <w:noWrap w:val="0"/>
            <w:vAlign w:val="center"/>
          </w:tcPr>
          <w:p>
            <w:pPr>
              <w:pStyle w:val="28"/>
              <w:rPr>
                <w:rFonts w:hint="default" w:ascii="Times New Roman" w:hAnsi="Times New Roman" w:cs="Times New Roman"/>
                <w:sz w:val="21"/>
                <w:szCs w:val="21"/>
              </w:rPr>
            </w:pPr>
            <w:r>
              <w:rPr>
                <w:rFonts w:hint="default" w:ascii="Times New Roman" w:hAnsi="Times New Roman" w:cs="Times New Roman"/>
                <w:sz w:val="21"/>
                <w:szCs w:val="21"/>
              </w:rPr>
              <w:t>属3类功能区，执行《声环境质量标准》（GB3096-2008）中3类标准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tcBorders>
              <w:tl2br w:val="nil"/>
              <w:tr2bl w:val="nil"/>
            </w:tcBorders>
            <w:noWrap w:val="0"/>
            <w:vAlign w:val="center"/>
          </w:tcPr>
          <w:p>
            <w:pPr>
              <w:pStyle w:val="28"/>
              <w:rPr>
                <w:rFonts w:hint="default" w:ascii="Times New Roman" w:hAnsi="Times New Roman" w:cs="Times New Roman"/>
                <w:sz w:val="21"/>
                <w:szCs w:val="21"/>
              </w:rPr>
            </w:pPr>
            <w:r>
              <w:rPr>
                <w:rFonts w:hint="default" w:ascii="Times New Roman" w:hAnsi="Times New Roman" w:cs="Times New Roman"/>
                <w:sz w:val="21"/>
                <w:szCs w:val="21"/>
              </w:rPr>
              <w:t>5</w:t>
            </w:r>
          </w:p>
        </w:tc>
        <w:tc>
          <w:tcPr>
            <w:tcW w:w="2813" w:type="dxa"/>
            <w:tcBorders>
              <w:tl2br w:val="nil"/>
              <w:tr2bl w:val="nil"/>
            </w:tcBorders>
            <w:noWrap w:val="0"/>
            <w:vAlign w:val="center"/>
          </w:tcPr>
          <w:p>
            <w:pPr>
              <w:pStyle w:val="28"/>
              <w:rPr>
                <w:rFonts w:hint="default" w:ascii="Times New Roman" w:hAnsi="Times New Roman" w:cs="Times New Roman"/>
                <w:sz w:val="21"/>
                <w:szCs w:val="21"/>
              </w:rPr>
            </w:pPr>
            <w:r>
              <w:rPr>
                <w:rFonts w:hint="default" w:ascii="Times New Roman" w:hAnsi="Times New Roman" w:cs="Times New Roman"/>
                <w:sz w:val="21"/>
                <w:szCs w:val="21"/>
              </w:rPr>
              <w:t>是否基本农田保护区</w:t>
            </w:r>
          </w:p>
        </w:tc>
        <w:tc>
          <w:tcPr>
            <w:tcW w:w="4733" w:type="dxa"/>
            <w:tcBorders>
              <w:tl2br w:val="nil"/>
              <w:tr2bl w:val="nil"/>
            </w:tcBorders>
            <w:noWrap w:val="0"/>
            <w:vAlign w:val="center"/>
          </w:tcPr>
          <w:p>
            <w:pPr>
              <w:pStyle w:val="28"/>
              <w:rPr>
                <w:rFonts w:hint="default" w:ascii="Times New Roman" w:hAnsi="Times New Roman" w:cs="Times New Roman"/>
                <w:sz w:val="21"/>
                <w:szCs w:val="21"/>
              </w:rPr>
            </w:pPr>
            <w:r>
              <w:rPr>
                <w:rFonts w:hint="default" w:ascii="Times New Roman" w:hAnsi="Times New Roman" w:cs="Times New Roman"/>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tcBorders>
              <w:tl2br w:val="nil"/>
              <w:tr2bl w:val="nil"/>
            </w:tcBorders>
            <w:noWrap w:val="0"/>
            <w:vAlign w:val="center"/>
          </w:tcPr>
          <w:p>
            <w:pPr>
              <w:pStyle w:val="28"/>
              <w:rPr>
                <w:rFonts w:hint="default" w:ascii="Times New Roman" w:hAnsi="Times New Roman" w:cs="Times New Roman"/>
                <w:sz w:val="21"/>
                <w:szCs w:val="21"/>
              </w:rPr>
            </w:pPr>
            <w:r>
              <w:rPr>
                <w:rFonts w:hint="default" w:ascii="Times New Roman" w:hAnsi="Times New Roman" w:cs="Times New Roman"/>
                <w:sz w:val="21"/>
                <w:szCs w:val="21"/>
              </w:rPr>
              <w:t>6</w:t>
            </w:r>
          </w:p>
        </w:tc>
        <w:tc>
          <w:tcPr>
            <w:tcW w:w="2813" w:type="dxa"/>
            <w:tcBorders>
              <w:tl2br w:val="nil"/>
              <w:tr2bl w:val="nil"/>
            </w:tcBorders>
            <w:noWrap w:val="0"/>
            <w:vAlign w:val="center"/>
          </w:tcPr>
          <w:p>
            <w:pPr>
              <w:pStyle w:val="28"/>
              <w:rPr>
                <w:rFonts w:hint="default" w:ascii="Times New Roman" w:hAnsi="Times New Roman" w:cs="Times New Roman"/>
                <w:sz w:val="21"/>
                <w:szCs w:val="21"/>
              </w:rPr>
            </w:pPr>
            <w:r>
              <w:rPr>
                <w:rFonts w:hint="default" w:ascii="Times New Roman" w:hAnsi="Times New Roman" w:cs="Times New Roman"/>
                <w:sz w:val="21"/>
                <w:szCs w:val="21"/>
              </w:rPr>
              <w:t>是否名胜风景保护区</w:t>
            </w:r>
          </w:p>
        </w:tc>
        <w:tc>
          <w:tcPr>
            <w:tcW w:w="4733" w:type="dxa"/>
            <w:tcBorders>
              <w:tl2br w:val="nil"/>
              <w:tr2bl w:val="nil"/>
            </w:tcBorders>
            <w:noWrap w:val="0"/>
            <w:vAlign w:val="center"/>
          </w:tcPr>
          <w:p>
            <w:pPr>
              <w:pStyle w:val="28"/>
              <w:rPr>
                <w:rFonts w:hint="default" w:ascii="Times New Roman" w:hAnsi="Times New Roman" w:cs="Times New Roman"/>
                <w:sz w:val="21"/>
                <w:szCs w:val="21"/>
              </w:rPr>
            </w:pPr>
            <w:r>
              <w:rPr>
                <w:rFonts w:hint="default" w:ascii="Times New Roman" w:hAnsi="Times New Roman" w:cs="Times New Roman"/>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tcBorders>
              <w:tl2br w:val="nil"/>
              <w:tr2bl w:val="nil"/>
            </w:tcBorders>
            <w:noWrap w:val="0"/>
            <w:vAlign w:val="center"/>
          </w:tcPr>
          <w:p>
            <w:pPr>
              <w:pStyle w:val="28"/>
              <w:rPr>
                <w:rFonts w:hint="default" w:ascii="Times New Roman" w:hAnsi="Times New Roman" w:cs="Times New Roman"/>
                <w:sz w:val="21"/>
                <w:szCs w:val="21"/>
              </w:rPr>
            </w:pPr>
            <w:r>
              <w:rPr>
                <w:rFonts w:hint="default" w:ascii="Times New Roman" w:hAnsi="Times New Roman" w:cs="Times New Roman"/>
                <w:sz w:val="21"/>
                <w:szCs w:val="21"/>
              </w:rPr>
              <w:t>7</w:t>
            </w:r>
          </w:p>
        </w:tc>
        <w:tc>
          <w:tcPr>
            <w:tcW w:w="2813" w:type="dxa"/>
            <w:tcBorders>
              <w:tl2br w:val="nil"/>
              <w:tr2bl w:val="nil"/>
            </w:tcBorders>
            <w:noWrap w:val="0"/>
            <w:vAlign w:val="center"/>
          </w:tcPr>
          <w:p>
            <w:pPr>
              <w:pStyle w:val="28"/>
              <w:rPr>
                <w:rFonts w:hint="default" w:ascii="Times New Roman" w:hAnsi="Times New Roman" w:cs="Times New Roman"/>
                <w:sz w:val="21"/>
                <w:szCs w:val="21"/>
              </w:rPr>
            </w:pPr>
            <w:r>
              <w:rPr>
                <w:rFonts w:hint="default" w:ascii="Times New Roman" w:hAnsi="Times New Roman" w:cs="Times New Roman"/>
                <w:sz w:val="21"/>
                <w:szCs w:val="21"/>
              </w:rPr>
              <w:t>是否饮水水源地保护区</w:t>
            </w:r>
          </w:p>
        </w:tc>
        <w:tc>
          <w:tcPr>
            <w:tcW w:w="4733" w:type="dxa"/>
            <w:tcBorders>
              <w:tl2br w:val="nil"/>
              <w:tr2bl w:val="nil"/>
            </w:tcBorders>
            <w:noWrap w:val="0"/>
            <w:vAlign w:val="center"/>
          </w:tcPr>
          <w:p>
            <w:pPr>
              <w:pStyle w:val="28"/>
              <w:rPr>
                <w:rFonts w:hint="default" w:ascii="Times New Roman" w:hAnsi="Times New Roman" w:cs="Times New Roman"/>
                <w:sz w:val="21"/>
                <w:szCs w:val="21"/>
              </w:rPr>
            </w:pPr>
            <w:r>
              <w:rPr>
                <w:rFonts w:hint="default" w:ascii="Times New Roman" w:hAnsi="Times New Roman" w:cs="Times New Roman"/>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tcBorders>
              <w:tl2br w:val="nil"/>
              <w:tr2bl w:val="nil"/>
            </w:tcBorders>
            <w:noWrap w:val="0"/>
            <w:vAlign w:val="center"/>
          </w:tcPr>
          <w:p>
            <w:pPr>
              <w:pStyle w:val="28"/>
              <w:rPr>
                <w:rFonts w:hint="default" w:ascii="Times New Roman" w:hAnsi="Times New Roman" w:cs="Times New Roman"/>
                <w:sz w:val="21"/>
                <w:szCs w:val="21"/>
              </w:rPr>
            </w:pPr>
            <w:r>
              <w:rPr>
                <w:rFonts w:hint="default" w:ascii="Times New Roman" w:hAnsi="Times New Roman" w:cs="Times New Roman"/>
                <w:sz w:val="21"/>
                <w:szCs w:val="21"/>
              </w:rPr>
              <w:t>8</w:t>
            </w:r>
          </w:p>
        </w:tc>
        <w:tc>
          <w:tcPr>
            <w:tcW w:w="2813" w:type="dxa"/>
            <w:tcBorders>
              <w:tl2br w:val="nil"/>
              <w:tr2bl w:val="nil"/>
            </w:tcBorders>
            <w:noWrap w:val="0"/>
            <w:vAlign w:val="center"/>
          </w:tcPr>
          <w:p>
            <w:pPr>
              <w:pStyle w:val="28"/>
              <w:rPr>
                <w:rFonts w:hint="default" w:ascii="Times New Roman" w:hAnsi="Times New Roman" w:cs="Times New Roman"/>
                <w:sz w:val="21"/>
                <w:szCs w:val="21"/>
              </w:rPr>
            </w:pPr>
            <w:r>
              <w:rPr>
                <w:rFonts w:hint="default" w:ascii="Times New Roman" w:hAnsi="Times New Roman" w:cs="Times New Roman"/>
                <w:sz w:val="21"/>
                <w:szCs w:val="21"/>
              </w:rPr>
              <w:t>是否污水处理厂集水范围</w:t>
            </w:r>
          </w:p>
        </w:tc>
        <w:tc>
          <w:tcPr>
            <w:tcW w:w="4733" w:type="dxa"/>
            <w:tcBorders>
              <w:tl2br w:val="nil"/>
              <w:tr2bl w:val="nil"/>
            </w:tcBorders>
            <w:noWrap w:val="0"/>
            <w:vAlign w:val="center"/>
          </w:tcPr>
          <w:p>
            <w:pPr>
              <w:pStyle w:val="28"/>
              <w:rPr>
                <w:rFonts w:hint="default" w:ascii="Times New Roman" w:hAnsi="Times New Roman" w:cs="Times New Roman"/>
                <w:sz w:val="21"/>
                <w:szCs w:val="21"/>
              </w:rPr>
            </w:pPr>
            <w:r>
              <w:rPr>
                <w:rFonts w:hint="default" w:ascii="Times New Roman" w:hAnsi="Times New Roman" w:cs="Times New Roman"/>
                <w:sz w:val="21"/>
                <w:szCs w:val="21"/>
              </w:rPr>
              <w:t>是，</w:t>
            </w:r>
            <w:r>
              <w:rPr>
                <w:rFonts w:hint="default" w:ascii="Times New Roman" w:hAnsi="Times New Roman" w:cs="Times New Roman"/>
                <w:sz w:val="21"/>
                <w:szCs w:val="21"/>
                <w:lang w:val="en-US" w:eastAsia="zh-CN"/>
              </w:rPr>
              <w:t>白水湖污水处理厂</w:t>
            </w:r>
            <w:r>
              <w:rPr>
                <w:rFonts w:hint="default" w:ascii="Times New Roman" w:hAnsi="Times New Roman" w:cs="Times New Roman"/>
                <w:sz w:val="21"/>
                <w:szCs w:val="21"/>
              </w:rPr>
              <w:t>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tcBorders>
              <w:tl2br w:val="nil"/>
              <w:tr2bl w:val="nil"/>
            </w:tcBorders>
            <w:noWrap w:val="0"/>
            <w:vAlign w:val="center"/>
          </w:tcPr>
          <w:p>
            <w:pPr>
              <w:pStyle w:val="28"/>
              <w:rPr>
                <w:rFonts w:hint="default" w:ascii="Times New Roman" w:hAnsi="Times New Roman" w:cs="Times New Roman"/>
                <w:sz w:val="21"/>
                <w:szCs w:val="21"/>
              </w:rPr>
            </w:pPr>
            <w:r>
              <w:rPr>
                <w:rFonts w:hint="default" w:ascii="Times New Roman" w:hAnsi="Times New Roman" w:cs="Times New Roman"/>
                <w:sz w:val="21"/>
                <w:szCs w:val="21"/>
              </w:rPr>
              <w:t>9</w:t>
            </w:r>
          </w:p>
        </w:tc>
        <w:tc>
          <w:tcPr>
            <w:tcW w:w="2813" w:type="dxa"/>
            <w:tcBorders>
              <w:tl2br w:val="nil"/>
              <w:tr2bl w:val="nil"/>
            </w:tcBorders>
            <w:noWrap w:val="0"/>
            <w:vAlign w:val="center"/>
          </w:tcPr>
          <w:p>
            <w:pPr>
              <w:pStyle w:val="28"/>
              <w:rPr>
                <w:rFonts w:hint="default" w:ascii="Times New Roman" w:hAnsi="Times New Roman" w:cs="Times New Roman"/>
                <w:sz w:val="21"/>
                <w:szCs w:val="21"/>
              </w:rPr>
            </w:pPr>
            <w:r>
              <w:rPr>
                <w:rFonts w:hint="default" w:ascii="Times New Roman" w:hAnsi="Times New Roman" w:cs="Times New Roman"/>
                <w:sz w:val="21"/>
                <w:szCs w:val="21"/>
              </w:rPr>
              <w:t>是否环境敏感区</w:t>
            </w:r>
          </w:p>
        </w:tc>
        <w:tc>
          <w:tcPr>
            <w:tcW w:w="4733" w:type="dxa"/>
            <w:tcBorders>
              <w:tl2br w:val="nil"/>
              <w:tr2bl w:val="nil"/>
            </w:tcBorders>
            <w:noWrap w:val="0"/>
            <w:vAlign w:val="center"/>
          </w:tcPr>
          <w:p>
            <w:pPr>
              <w:pStyle w:val="28"/>
              <w:rPr>
                <w:rFonts w:hint="default" w:ascii="Times New Roman" w:hAnsi="Times New Roman" w:cs="Times New Roman"/>
                <w:sz w:val="21"/>
                <w:szCs w:val="21"/>
              </w:rPr>
            </w:pPr>
            <w:r>
              <w:rPr>
                <w:rFonts w:hint="default" w:ascii="Times New Roman" w:hAnsi="Times New Roman" w:cs="Times New Roman"/>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tcBorders>
              <w:tl2br w:val="nil"/>
              <w:tr2bl w:val="nil"/>
            </w:tcBorders>
            <w:noWrap w:val="0"/>
            <w:vAlign w:val="center"/>
          </w:tcPr>
          <w:p>
            <w:pPr>
              <w:pStyle w:val="28"/>
              <w:rPr>
                <w:rFonts w:hint="default" w:ascii="Times New Roman" w:hAnsi="Times New Roman" w:cs="Times New Roman"/>
                <w:sz w:val="21"/>
                <w:szCs w:val="21"/>
              </w:rPr>
            </w:pPr>
            <w:r>
              <w:rPr>
                <w:rFonts w:hint="default" w:ascii="Times New Roman" w:hAnsi="Times New Roman" w:cs="Times New Roman"/>
                <w:sz w:val="21"/>
                <w:szCs w:val="21"/>
              </w:rPr>
              <w:t>10</w:t>
            </w:r>
          </w:p>
        </w:tc>
        <w:tc>
          <w:tcPr>
            <w:tcW w:w="2813" w:type="dxa"/>
            <w:tcBorders>
              <w:tl2br w:val="nil"/>
              <w:tr2bl w:val="nil"/>
            </w:tcBorders>
            <w:noWrap w:val="0"/>
            <w:vAlign w:val="center"/>
          </w:tcPr>
          <w:p>
            <w:pPr>
              <w:pStyle w:val="28"/>
              <w:rPr>
                <w:rFonts w:hint="default" w:ascii="Times New Roman" w:hAnsi="Times New Roman" w:cs="Times New Roman"/>
                <w:sz w:val="21"/>
                <w:szCs w:val="21"/>
              </w:rPr>
            </w:pPr>
            <w:r>
              <w:rPr>
                <w:rFonts w:hint="default" w:ascii="Times New Roman" w:hAnsi="Times New Roman" w:cs="Times New Roman"/>
                <w:sz w:val="21"/>
                <w:szCs w:val="21"/>
              </w:rPr>
              <w:t>是否人口密集区</w:t>
            </w:r>
          </w:p>
        </w:tc>
        <w:tc>
          <w:tcPr>
            <w:tcW w:w="4733" w:type="dxa"/>
            <w:tcBorders>
              <w:tl2br w:val="nil"/>
              <w:tr2bl w:val="nil"/>
            </w:tcBorders>
            <w:noWrap w:val="0"/>
            <w:vAlign w:val="center"/>
          </w:tcPr>
          <w:p>
            <w:pPr>
              <w:pStyle w:val="28"/>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tcBorders>
              <w:tl2br w:val="nil"/>
              <w:tr2bl w:val="nil"/>
            </w:tcBorders>
            <w:noWrap w:val="0"/>
            <w:vAlign w:val="center"/>
          </w:tcPr>
          <w:p>
            <w:pPr>
              <w:pStyle w:val="28"/>
              <w:rPr>
                <w:rFonts w:hint="default" w:ascii="Times New Roman" w:hAnsi="Times New Roman" w:cs="Times New Roman"/>
                <w:sz w:val="21"/>
                <w:szCs w:val="21"/>
              </w:rPr>
            </w:pPr>
            <w:r>
              <w:rPr>
                <w:rFonts w:hint="default" w:ascii="Times New Roman" w:hAnsi="Times New Roman" w:cs="Times New Roman"/>
                <w:sz w:val="21"/>
                <w:szCs w:val="21"/>
              </w:rPr>
              <w:t>11</w:t>
            </w:r>
          </w:p>
        </w:tc>
        <w:tc>
          <w:tcPr>
            <w:tcW w:w="2813" w:type="dxa"/>
            <w:tcBorders>
              <w:tl2br w:val="nil"/>
              <w:tr2bl w:val="nil"/>
            </w:tcBorders>
            <w:noWrap w:val="0"/>
            <w:vAlign w:val="center"/>
          </w:tcPr>
          <w:p>
            <w:pPr>
              <w:pStyle w:val="28"/>
              <w:rPr>
                <w:rFonts w:hint="default" w:ascii="Times New Roman" w:hAnsi="Times New Roman" w:cs="Times New Roman"/>
                <w:sz w:val="21"/>
                <w:szCs w:val="21"/>
              </w:rPr>
            </w:pPr>
            <w:r>
              <w:rPr>
                <w:rFonts w:hint="default" w:ascii="Times New Roman" w:hAnsi="Times New Roman" w:cs="Times New Roman"/>
                <w:sz w:val="21"/>
                <w:szCs w:val="21"/>
              </w:rPr>
              <w:t>是否生态敏感与脆弱区</w:t>
            </w:r>
          </w:p>
        </w:tc>
        <w:tc>
          <w:tcPr>
            <w:tcW w:w="4733" w:type="dxa"/>
            <w:tcBorders>
              <w:tl2br w:val="nil"/>
              <w:tr2bl w:val="nil"/>
            </w:tcBorders>
            <w:noWrap w:val="0"/>
            <w:vAlign w:val="center"/>
          </w:tcPr>
          <w:p>
            <w:pPr>
              <w:pStyle w:val="28"/>
              <w:rPr>
                <w:rFonts w:hint="default" w:ascii="Times New Roman" w:hAnsi="Times New Roman" w:cs="Times New Roman"/>
                <w:sz w:val="21"/>
                <w:szCs w:val="21"/>
              </w:rPr>
            </w:pPr>
            <w:r>
              <w:rPr>
                <w:rFonts w:hint="default" w:ascii="Times New Roman" w:hAnsi="Times New Roman" w:cs="Times New Roman"/>
                <w:sz w:val="21"/>
                <w:szCs w:val="21"/>
              </w:rPr>
              <w:t>否</w:t>
            </w:r>
          </w:p>
        </w:tc>
      </w:tr>
    </w:tbl>
    <w:p>
      <w:pPr>
        <w:pStyle w:val="21"/>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outlineLvl w:val="0"/>
        <w:rPr>
          <w:rFonts w:hint="default" w:ascii="Times New Roman" w:hAnsi="Times New Roman" w:eastAsia="宋体" w:cs="Times New Roman"/>
          <w:sz w:val="30"/>
          <w:szCs w:val="30"/>
        </w:rPr>
      </w:pPr>
      <w:bookmarkStart w:id="41" w:name="_Toc7806"/>
      <w:r>
        <w:rPr>
          <w:rFonts w:hint="eastAsia" w:eastAsia="宋体" w:cs="Times New Roman"/>
          <w:sz w:val="30"/>
          <w:szCs w:val="30"/>
          <w:lang w:val="en-US" w:eastAsia="zh-CN"/>
        </w:rPr>
        <w:t>3</w:t>
      </w:r>
      <w:r>
        <w:rPr>
          <w:rFonts w:hint="default" w:ascii="Times New Roman" w:hAnsi="Times New Roman" w:eastAsia="宋体" w:cs="Times New Roman"/>
          <w:sz w:val="30"/>
          <w:szCs w:val="30"/>
        </w:rPr>
        <w:t>.</w:t>
      </w:r>
      <w:r>
        <w:rPr>
          <w:rFonts w:hint="eastAsia" w:ascii="Times New Roman" w:hAnsi="Times New Roman" w:eastAsia="宋体" w:cs="Times New Roman"/>
          <w:sz w:val="30"/>
          <w:szCs w:val="30"/>
          <w:lang w:val="en-US" w:eastAsia="zh-CN"/>
        </w:rPr>
        <w:t>2企业周边环境风险受体情况</w:t>
      </w:r>
      <w:bookmarkEnd w:id="41"/>
    </w:p>
    <w:p>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rPr>
      </w:pPr>
      <w:r>
        <w:rPr>
          <w:rFonts w:hint="default" w:ascii="Times New Roman" w:hAnsi="Times New Roman" w:eastAsia="宋体" w:cs="Times New Roman"/>
          <w:b w:val="0"/>
          <w:bCs w:val="0"/>
        </w:rPr>
        <w:t>环境风险受体分为大气环境风险受体、土壤环境风险受体和水环境风险受体。其中，大气环境风险受体主要包括居住、医疗卫生、文化教育、科研、行政办公、重要基础设施、企业等主要功能区域内的人群、保护单位、植被等，按人口数量进行指标量化；土壤环境风险受体主要为企业周边的基本农田保护区、居住商用地等区域；水环境风险受体主要包括饮用水水源保护区、自来水厂取水口、自然保护区、重要湿地、特殊生态系统、水产养殖区、鱼虾产卵场、天然渔场等区域，可按其脆弱性和敏感性进行级别划分。</w:t>
      </w:r>
    </w:p>
    <w:p>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s="Times New Roman"/>
          <w:lang w:val="en-US" w:eastAsia="zh-CN"/>
        </w:rPr>
      </w:pPr>
      <w:r>
        <w:rPr>
          <w:rFonts w:hint="eastAsia" w:eastAsia="宋体" w:cs="Times New Roman"/>
          <w:lang w:eastAsia="zh-CN"/>
        </w:rPr>
        <w:t>九江油库一库和二库直线距离约</w:t>
      </w:r>
      <w:r>
        <w:rPr>
          <w:rFonts w:hint="eastAsia" w:eastAsia="宋体" w:cs="Times New Roman"/>
          <w:lang w:val="en-US" w:eastAsia="zh-CN"/>
        </w:rPr>
        <w:t>700米，</w:t>
      </w:r>
      <w:r>
        <w:rPr>
          <w:rFonts w:hint="eastAsia" w:cs="Times New Roman"/>
          <w:lang w:val="en-US" w:eastAsia="zh-CN"/>
        </w:rPr>
        <w:t>分别统计500米内大气环境和声环境保护目标，统一考虑5km大气环境和声环境保护目标，由于项目设置一个生活污水排污口，则，统一考虑水环境保护目标。</w:t>
      </w:r>
      <w:r>
        <w:rPr>
          <w:rFonts w:hint="default" w:ascii="Times New Roman" w:hAnsi="Times New Roman" w:eastAsia="宋体" w:cs="Times New Roman"/>
          <w:b w:val="0"/>
          <w:bCs w:val="0"/>
        </w:rPr>
        <w:t>大气环境</w:t>
      </w:r>
      <w:r>
        <w:rPr>
          <w:rFonts w:hint="eastAsia" w:cs="Times New Roman"/>
          <w:b w:val="0"/>
          <w:bCs w:val="0"/>
          <w:lang w:eastAsia="zh-CN"/>
        </w:rPr>
        <w:t>及声环境</w:t>
      </w:r>
      <w:r>
        <w:rPr>
          <w:rFonts w:hint="default" w:ascii="Times New Roman" w:hAnsi="Times New Roman" w:eastAsia="宋体" w:cs="Times New Roman"/>
          <w:b w:val="0"/>
          <w:bCs w:val="0"/>
        </w:rPr>
        <w:t>风险受体</w:t>
      </w:r>
      <w:r>
        <w:rPr>
          <w:rFonts w:hint="eastAsia" w:cs="Times New Roman"/>
          <w:lang w:val="en-US" w:eastAsia="zh-CN"/>
        </w:rPr>
        <w:t>具体详见表3.2-1~3.2-2及图3.2-1，水环境</w:t>
      </w:r>
      <w:r>
        <w:rPr>
          <w:rFonts w:hint="default" w:ascii="Times New Roman" w:hAnsi="Times New Roman" w:eastAsia="宋体" w:cs="Times New Roman"/>
          <w:b w:val="0"/>
          <w:bCs w:val="0"/>
        </w:rPr>
        <w:t>风险受体</w:t>
      </w:r>
      <w:r>
        <w:rPr>
          <w:rFonts w:hint="eastAsia" w:cs="Times New Roman"/>
          <w:lang w:val="en-US" w:eastAsia="zh-CN"/>
        </w:rPr>
        <w:t>具体详见表3.2-3及图3.2-2。</w:t>
      </w:r>
    </w:p>
    <w:p>
      <w:pPr>
        <w:pStyle w:val="27"/>
        <w:keepNext w:val="0"/>
        <w:keepLines w:val="0"/>
        <w:pageBreakBefore w:val="0"/>
        <w:widowControl/>
        <w:kinsoku/>
        <w:wordWrap/>
        <w:overflowPunct/>
        <w:topLinePunct w:val="0"/>
        <w:autoSpaceDE/>
        <w:autoSpaceDN/>
        <w:bidi w:val="0"/>
        <w:adjustRightInd/>
        <w:snapToGrid/>
        <w:spacing w:before="0" w:beforeLines="0" w:line="360" w:lineRule="auto"/>
        <w:ind w:firstLine="0"/>
        <w:textAlignment w:val="auto"/>
        <w:rPr>
          <w:rFonts w:hint="eastAsia" w:ascii="Times New Roman" w:hAnsi="Times New Roman" w:eastAsia="宋体" w:cs="Times New Roman"/>
          <w:color w:val="auto"/>
          <w:szCs w:val="28"/>
          <w:lang w:eastAsia="zh-CN"/>
        </w:rPr>
      </w:pPr>
      <w:r>
        <w:rPr>
          <w:rFonts w:hint="default" w:ascii="Times New Roman" w:hAnsi="Times New Roman" w:eastAsia="宋体" w:cs="Times New Roman"/>
          <w:color w:val="auto"/>
          <w:szCs w:val="28"/>
        </w:rPr>
        <w:t>表</w:t>
      </w:r>
      <w:r>
        <w:rPr>
          <w:rFonts w:hint="eastAsia" w:cs="Times New Roman"/>
          <w:color w:val="auto"/>
          <w:lang w:val="en-US" w:eastAsia="zh-CN"/>
        </w:rPr>
        <w:t>3</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 xml:space="preserve">  项目</w:t>
      </w:r>
      <w:r>
        <w:rPr>
          <w:rFonts w:hint="default" w:ascii="Times New Roman" w:hAnsi="Times New Roman" w:eastAsia="宋体" w:cs="Times New Roman"/>
        </w:rPr>
        <w:t>周边</w:t>
      </w:r>
      <w:r>
        <w:rPr>
          <w:rFonts w:hint="eastAsia" w:cs="Times New Roman"/>
          <w:lang w:val="en-US" w:eastAsia="zh-CN"/>
        </w:rPr>
        <w:t>500米内</w:t>
      </w:r>
      <w:r>
        <w:rPr>
          <w:rFonts w:hint="eastAsia" w:cs="Times New Roman"/>
          <w:lang w:eastAsia="zh-CN"/>
        </w:rPr>
        <w:t>环境风险受体</w:t>
      </w:r>
      <w:r>
        <w:rPr>
          <w:rFonts w:hint="default" w:ascii="Times New Roman" w:hAnsi="Times New Roman" w:eastAsia="宋体" w:cs="Times New Roman"/>
        </w:rPr>
        <w:t>分布情况</w:t>
      </w:r>
    </w:p>
    <w:tbl>
      <w:tblPr>
        <w:tblStyle w:val="15"/>
        <w:tblW w:w="477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3248"/>
        <w:gridCol w:w="1276"/>
        <w:gridCol w:w="1320"/>
        <w:gridCol w:w="15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序号</w:t>
            </w:r>
          </w:p>
        </w:tc>
        <w:tc>
          <w:tcPr>
            <w:tcW w:w="1996" w:type="pct"/>
            <w:tcBorders>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敏感点</w:t>
            </w:r>
          </w:p>
        </w:tc>
        <w:tc>
          <w:tcPr>
            <w:tcW w:w="784" w:type="pct"/>
            <w:tcBorders>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规模（人）</w:t>
            </w:r>
          </w:p>
        </w:tc>
        <w:tc>
          <w:tcPr>
            <w:tcW w:w="811" w:type="pct"/>
            <w:tcBorders>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相对方位</w:t>
            </w:r>
          </w:p>
        </w:tc>
        <w:tc>
          <w:tcPr>
            <w:tcW w:w="961" w:type="pct"/>
            <w:tcBorders>
              <w:left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最近距离（m）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一库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op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p>
        </w:tc>
        <w:tc>
          <w:tcPr>
            <w:tcW w:w="1996"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旅游学院</w:t>
            </w:r>
          </w:p>
        </w:tc>
        <w:tc>
          <w:tcPr>
            <w:tcW w:w="784"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800</w:t>
            </w:r>
          </w:p>
        </w:tc>
        <w:tc>
          <w:tcPr>
            <w:tcW w:w="811"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西</w:t>
            </w:r>
          </w:p>
        </w:tc>
        <w:tc>
          <w:tcPr>
            <w:tcW w:w="961" w:type="pct"/>
            <w:tcBorders>
              <w:top w:val="single" w:color="auto" w:sz="6" w:space="0"/>
              <w:left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op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w:t>
            </w:r>
          </w:p>
        </w:tc>
        <w:tc>
          <w:tcPr>
            <w:tcW w:w="1996"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民俗公园</w:t>
            </w:r>
          </w:p>
        </w:tc>
        <w:tc>
          <w:tcPr>
            <w:tcW w:w="784"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50</w:t>
            </w:r>
          </w:p>
        </w:tc>
        <w:tc>
          <w:tcPr>
            <w:tcW w:w="811"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西</w:t>
            </w:r>
          </w:p>
        </w:tc>
        <w:tc>
          <w:tcPr>
            <w:tcW w:w="961" w:type="pct"/>
            <w:tcBorders>
              <w:top w:val="single" w:color="auto" w:sz="6" w:space="0"/>
              <w:left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op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w:t>
            </w:r>
          </w:p>
        </w:tc>
        <w:tc>
          <w:tcPr>
            <w:tcW w:w="1996"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江湾一号小区</w:t>
            </w:r>
          </w:p>
        </w:tc>
        <w:tc>
          <w:tcPr>
            <w:tcW w:w="784"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1500</w:t>
            </w:r>
          </w:p>
        </w:tc>
        <w:tc>
          <w:tcPr>
            <w:tcW w:w="811"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西</w:t>
            </w:r>
          </w:p>
        </w:tc>
        <w:tc>
          <w:tcPr>
            <w:tcW w:w="961" w:type="pct"/>
            <w:tcBorders>
              <w:top w:val="single" w:color="auto" w:sz="6" w:space="0"/>
              <w:left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350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op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w:t>
            </w:r>
          </w:p>
        </w:tc>
        <w:tc>
          <w:tcPr>
            <w:tcW w:w="1996"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油站社区</w:t>
            </w:r>
          </w:p>
        </w:tc>
        <w:tc>
          <w:tcPr>
            <w:tcW w:w="784"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450</w:t>
            </w:r>
          </w:p>
        </w:tc>
        <w:tc>
          <w:tcPr>
            <w:tcW w:w="811"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西南</w:t>
            </w:r>
          </w:p>
        </w:tc>
        <w:tc>
          <w:tcPr>
            <w:tcW w:w="961" w:type="pct"/>
            <w:tcBorders>
              <w:top w:val="single" w:color="auto" w:sz="6" w:space="0"/>
              <w:left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op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w:t>
            </w:r>
          </w:p>
        </w:tc>
        <w:tc>
          <w:tcPr>
            <w:tcW w:w="1996"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铁里湾社区</w:t>
            </w:r>
          </w:p>
        </w:tc>
        <w:tc>
          <w:tcPr>
            <w:tcW w:w="784"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640</w:t>
            </w:r>
          </w:p>
        </w:tc>
        <w:tc>
          <w:tcPr>
            <w:tcW w:w="811"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西南</w:t>
            </w:r>
          </w:p>
        </w:tc>
        <w:tc>
          <w:tcPr>
            <w:tcW w:w="961" w:type="pct"/>
            <w:tcBorders>
              <w:top w:val="single" w:color="auto" w:sz="6" w:space="0"/>
              <w:left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op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w:t>
            </w:r>
          </w:p>
        </w:tc>
        <w:tc>
          <w:tcPr>
            <w:tcW w:w="1996"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金鸡坡村</w:t>
            </w:r>
          </w:p>
        </w:tc>
        <w:tc>
          <w:tcPr>
            <w:tcW w:w="784"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270</w:t>
            </w:r>
          </w:p>
        </w:tc>
        <w:tc>
          <w:tcPr>
            <w:tcW w:w="811"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南</w:t>
            </w:r>
          </w:p>
        </w:tc>
        <w:tc>
          <w:tcPr>
            <w:tcW w:w="961" w:type="pct"/>
            <w:tcBorders>
              <w:top w:val="single" w:color="auto" w:sz="6" w:space="0"/>
              <w:left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op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w:t>
            </w:r>
          </w:p>
        </w:tc>
        <w:tc>
          <w:tcPr>
            <w:tcW w:w="1996"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时家垅村</w:t>
            </w:r>
          </w:p>
        </w:tc>
        <w:tc>
          <w:tcPr>
            <w:tcW w:w="784"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100</w:t>
            </w:r>
          </w:p>
        </w:tc>
        <w:tc>
          <w:tcPr>
            <w:tcW w:w="811"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南</w:t>
            </w:r>
          </w:p>
        </w:tc>
        <w:tc>
          <w:tcPr>
            <w:tcW w:w="961" w:type="pct"/>
            <w:tcBorders>
              <w:top w:val="single" w:color="auto" w:sz="6" w:space="0"/>
              <w:left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op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8</w:t>
            </w:r>
          </w:p>
        </w:tc>
        <w:tc>
          <w:tcPr>
            <w:tcW w:w="1996"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浔阳区石化产业管委会</w:t>
            </w:r>
          </w:p>
        </w:tc>
        <w:tc>
          <w:tcPr>
            <w:tcW w:w="784"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35</w:t>
            </w:r>
          </w:p>
        </w:tc>
        <w:tc>
          <w:tcPr>
            <w:tcW w:w="811"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东南</w:t>
            </w:r>
          </w:p>
        </w:tc>
        <w:tc>
          <w:tcPr>
            <w:tcW w:w="961" w:type="pct"/>
            <w:tcBorders>
              <w:top w:val="single" w:color="auto" w:sz="6" w:space="0"/>
              <w:left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op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二库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op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p>
        </w:tc>
        <w:tc>
          <w:tcPr>
            <w:tcW w:w="1996"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零星居民点</w:t>
            </w:r>
          </w:p>
        </w:tc>
        <w:tc>
          <w:tcPr>
            <w:tcW w:w="784"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80</w:t>
            </w:r>
          </w:p>
        </w:tc>
        <w:tc>
          <w:tcPr>
            <w:tcW w:w="811"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北</w:t>
            </w:r>
          </w:p>
        </w:tc>
        <w:tc>
          <w:tcPr>
            <w:tcW w:w="961" w:type="pct"/>
            <w:tcBorders>
              <w:top w:val="single" w:color="auto" w:sz="6" w:space="0"/>
              <w:left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op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w:t>
            </w:r>
          </w:p>
        </w:tc>
        <w:tc>
          <w:tcPr>
            <w:tcW w:w="1996"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物流公司</w:t>
            </w:r>
          </w:p>
        </w:tc>
        <w:tc>
          <w:tcPr>
            <w:tcW w:w="784"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50</w:t>
            </w:r>
          </w:p>
        </w:tc>
        <w:tc>
          <w:tcPr>
            <w:tcW w:w="811"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北</w:t>
            </w:r>
          </w:p>
        </w:tc>
        <w:tc>
          <w:tcPr>
            <w:tcW w:w="961" w:type="pct"/>
            <w:tcBorders>
              <w:top w:val="single" w:color="auto" w:sz="6" w:space="0"/>
              <w:left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op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w:t>
            </w:r>
          </w:p>
        </w:tc>
        <w:tc>
          <w:tcPr>
            <w:tcW w:w="1996"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新雪域批发市场</w:t>
            </w:r>
          </w:p>
        </w:tc>
        <w:tc>
          <w:tcPr>
            <w:tcW w:w="784"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1500</w:t>
            </w:r>
          </w:p>
        </w:tc>
        <w:tc>
          <w:tcPr>
            <w:tcW w:w="811"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西</w:t>
            </w:r>
          </w:p>
        </w:tc>
        <w:tc>
          <w:tcPr>
            <w:tcW w:w="961" w:type="pct"/>
            <w:tcBorders>
              <w:top w:val="single" w:color="auto" w:sz="6" w:space="0"/>
              <w:left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op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w:t>
            </w:r>
          </w:p>
        </w:tc>
        <w:tc>
          <w:tcPr>
            <w:tcW w:w="1996"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金鸡坡派出所</w:t>
            </w:r>
          </w:p>
        </w:tc>
        <w:tc>
          <w:tcPr>
            <w:tcW w:w="784"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30</w:t>
            </w:r>
          </w:p>
        </w:tc>
        <w:tc>
          <w:tcPr>
            <w:tcW w:w="811"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西南</w:t>
            </w:r>
          </w:p>
        </w:tc>
        <w:tc>
          <w:tcPr>
            <w:tcW w:w="961" w:type="pct"/>
            <w:tcBorders>
              <w:top w:val="single" w:color="auto" w:sz="6" w:space="0"/>
              <w:left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op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w:t>
            </w:r>
          </w:p>
        </w:tc>
        <w:tc>
          <w:tcPr>
            <w:tcW w:w="1996"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琵琶湖安置小区</w:t>
            </w:r>
          </w:p>
        </w:tc>
        <w:tc>
          <w:tcPr>
            <w:tcW w:w="784"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1800</w:t>
            </w:r>
          </w:p>
        </w:tc>
        <w:tc>
          <w:tcPr>
            <w:tcW w:w="811"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东南</w:t>
            </w:r>
          </w:p>
        </w:tc>
        <w:tc>
          <w:tcPr>
            <w:tcW w:w="961" w:type="pct"/>
            <w:tcBorders>
              <w:top w:val="single" w:color="auto" w:sz="6" w:space="0"/>
              <w:left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op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w:t>
            </w:r>
          </w:p>
        </w:tc>
        <w:tc>
          <w:tcPr>
            <w:tcW w:w="1996"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大王庙村</w:t>
            </w:r>
          </w:p>
        </w:tc>
        <w:tc>
          <w:tcPr>
            <w:tcW w:w="784"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450</w:t>
            </w:r>
          </w:p>
        </w:tc>
        <w:tc>
          <w:tcPr>
            <w:tcW w:w="811"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东</w:t>
            </w:r>
          </w:p>
        </w:tc>
        <w:tc>
          <w:tcPr>
            <w:tcW w:w="961" w:type="pct"/>
            <w:tcBorders>
              <w:top w:val="single" w:color="auto" w:sz="6" w:space="0"/>
              <w:left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op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w:t>
            </w:r>
          </w:p>
        </w:tc>
        <w:tc>
          <w:tcPr>
            <w:tcW w:w="1996"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中铁九局社区</w:t>
            </w:r>
          </w:p>
        </w:tc>
        <w:tc>
          <w:tcPr>
            <w:tcW w:w="784"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3500</w:t>
            </w:r>
          </w:p>
        </w:tc>
        <w:tc>
          <w:tcPr>
            <w:tcW w:w="811"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东北</w:t>
            </w:r>
          </w:p>
        </w:tc>
        <w:tc>
          <w:tcPr>
            <w:tcW w:w="961" w:type="pct"/>
            <w:tcBorders>
              <w:top w:val="single" w:color="auto" w:sz="6" w:space="0"/>
              <w:left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op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8</w:t>
            </w:r>
          </w:p>
        </w:tc>
        <w:tc>
          <w:tcPr>
            <w:tcW w:w="1996"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袁家湖小区</w:t>
            </w:r>
          </w:p>
        </w:tc>
        <w:tc>
          <w:tcPr>
            <w:tcW w:w="784"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1200</w:t>
            </w:r>
          </w:p>
        </w:tc>
        <w:tc>
          <w:tcPr>
            <w:tcW w:w="811"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北</w:t>
            </w:r>
          </w:p>
        </w:tc>
        <w:tc>
          <w:tcPr>
            <w:tcW w:w="961" w:type="pct"/>
            <w:tcBorders>
              <w:top w:val="single" w:color="auto" w:sz="6" w:space="0"/>
              <w:left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320</w:t>
            </w:r>
          </w:p>
        </w:tc>
      </w:tr>
    </w:tbl>
    <w:p>
      <w:pPr>
        <w:pStyle w:val="19"/>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eastAsia="宋体" w:cs="Times New Roman"/>
          <w:lang w:eastAsia="zh-CN"/>
        </w:rPr>
      </w:pPr>
      <w:r>
        <w:rPr>
          <w:sz w:val="24"/>
        </w:rPr>
        <mc:AlternateContent>
          <mc:Choice Requires="wps">
            <w:drawing>
              <wp:anchor distT="0" distB="0" distL="114300" distR="114300" simplePos="0" relativeHeight="251662336" behindDoc="0" locked="0" layoutInCell="1" allowOverlap="1">
                <wp:simplePos x="0" y="0"/>
                <wp:positionH relativeFrom="column">
                  <wp:posOffset>1698625</wp:posOffset>
                </wp:positionH>
                <wp:positionV relativeFrom="paragraph">
                  <wp:posOffset>464820</wp:posOffset>
                </wp:positionV>
                <wp:extent cx="2545715" cy="1934210"/>
                <wp:effectExtent l="234950" t="337820" r="248285" b="337820"/>
                <wp:wrapNone/>
                <wp:docPr id="10" name="矩形 10"/>
                <wp:cNvGraphicFramePr/>
                <a:graphic xmlns:a="http://schemas.openxmlformats.org/drawingml/2006/main">
                  <a:graphicData uri="http://schemas.microsoft.com/office/word/2010/wordprocessingShape">
                    <wps:wsp>
                      <wps:cNvSpPr/>
                      <wps:spPr>
                        <a:xfrm rot="20580000">
                          <a:off x="0" y="0"/>
                          <a:ext cx="2545715" cy="19342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3.75pt;margin-top:36.6pt;height:152.3pt;width:200.45pt;rotation:-1114112f;z-index:251662336;v-text-anchor:middle;mso-width-relative:page;mso-height-relative:page;" filled="f" stroked="t" coordsize="21600,21600" o:gfxdata="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VuAFfaAAAACgEAAA8AAAAAAAAAAQAgAAAAIgAAAGRycy9k&#10;b3ducmV2LnhtbFBLAQIUABQAAAAIAIdO4kDQ0RqhcgIAAN0EAAAOAAAAAAAAAAEAIAAAACkBAABk&#10;cnMvZTJvRG9jLnhtbFBLBQYAAAAABgAGAFkBAAANBgAAAAA=&#10;">
                <v:fill on="f" focussize="0,0"/>
                <v:stroke weight="1pt" color="#FF0000 [3204]" miterlimit="8" joinstyle="miter"/>
                <v:imagedata o:title=""/>
                <o:lock v:ext="edit" aspectratio="f"/>
              </v:rect>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125095</wp:posOffset>
                </wp:positionH>
                <wp:positionV relativeFrom="paragraph">
                  <wp:posOffset>335915</wp:posOffset>
                </wp:positionV>
                <wp:extent cx="1880870" cy="1689100"/>
                <wp:effectExtent l="213995" t="245745" r="229235" b="255905"/>
                <wp:wrapNone/>
                <wp:docPr id="9" name="矩形 9"/>
                <wp:cNvGraphicFramePr/>
                <a:graphic xmlns:a="http://schemas.openxmlformats.org/drawingml/2006/main">
                  <a:graphicData uri="http://schemas.microsoft.com/office/word/2010/wordprocessingShape">
                    <wps:wsp>
                      <wps:cNvSpPr/>
                      <wps:spPr>
                        <a:xfrm rot="20580000">
                          <a:off x="1504950" y="5824855"/>
                          <a:ext cx="1880870" cy="1689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85pt;margin-top:26.45pt;height:133pt;width:148.1pt;rotation:-1114112f;z-index:251661312;v-text-anchor:middle;mso-width-relative:page;mso-height-relative:page;" filled="f" stroked="t" coordsize="21600,21600" o:gfxdata="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P01LUfYAAAACQEAAA8AAAAAAAAAAQAgAAAA&#10;IgAAAGRycy9kb3ducmV2LnhtbFBLAQIUABQAAAAIAIdO4kAabYa8fQIAAOcEAAAOAAAAAAAAAAEA&#10;IAAAACcBAABkcnMvZTJvRG9jLnhtbFBLBQYAAAAABgAGAFkBAAAWBgAAAAA=&#10;">
                <v:fill on="f" focussize="0,0"/>
                <v:stroke weight="1pt" color="#FF0000 [3204]" miterlimit="8" joinstyle="miter"/>
                <v:imagedata o:title=""/>
                <o:lock v:ext="edit" aspectratio="f"/>
              </v:rect>
            </w:pict>
          </mc:Fallback>
        </mc:AlternateContent>
      </w:r>
      <w:r>
        <w:drawing>
          <wp:inline distT="0" distB="0" distL="114300" distR="114300">
            <wp:extent cx="5263515" cy="2854325"/>
            <wp:effectExtent l="0" t="0" r="13335" b="3175"/>
            <wp:docPr id="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4"/>
                    <pic:cNvPicPr>
                      <a:picLocks noChangeAspect="1"/>
                    </pic:cNvPicPr>
                  </pic:nvPicPr>
                  <pic:blipFill>
                    <a:blip r:embed="rId7"/>
                    <a:stretch>
                      <a:fillRect/>
                    </a:stretch>
                  </pic:blipFill>
                  <pic:spPr>
                    <a:xfrm>
                      <a:off x="0" y="0"/>
                      <a:ext cx="5263515" cy="2854325"/>
                    </a:xfrm>
                    <a:prstGeom prst="rect">
                      <a:avLst/>
                    </a:prstGeom>
                    <a:noFill/>
                    <a:ln>
                      <a:noFill/>
                    </a:ln>
                  </pic:spPr>
                </pic:pic>
              </a:graphicData>
            </a:graphic>
          </wp:inline>
        </w:drawing>
      </w:r>
    </w:p>
    <w:p>
      <w:pPr>
        <w:pStyle w:val="27"/>
        <w:keepNext w:val="0"/>
        <w:keepLines w:val="0"/>
        <w:pageBreakBefore w:val="0"/>
        <w:widowControl/>
        <w:kinsoku/>
        <w:wordWrap/>
        <w:overflowPunct/>
        <w:topLinePunct w:val="0"/>
        <w:autoSpaceDE/>
        <w:autoSpaceDN/>
        <w:bidi w:val="0"/>
        <w:adjustRightInd/>
        <w:snapToGrid/>
        <w:spacing w:before="0" w:beforeLines="0" w:line="360" w:lineRule="auto"/>
        <w:ind w:firstLine="0"/>
        <w:textAlignment w:val="auto"/>
        <w:rPr>
          <w:rFonts w:hint="eastAsia" w:ascii="Times New Roman" w:hAnsi="Times New Roman" w:eastAsia="宋体" w:cs="Times New Roman"/>
          <w:color w:val="auto"/>
          <w:szCs w:val="28"/>
          <w:lang w:eastAsia="zh-CN"/>
        </w:rPr>
      </w:pPr>
      <w:r>
        <w:rPr>
          <w:rFonts w:hint="eastAsia" w:ascii="Times New Roman" w:hAnsi="Times New Roman" w:eastAsia="宋体" w:cs="Times New Roman"/>
          <w:color w:val="auto"/>
          <w:szCs w:val="28"/>
          <w:lang w:eastAsia="zh-CN"/>
        </w:rPr>
        <w:t>图</w:t>
      </w:r>
      <w:r>
        <w:rPr>
          <w:rFonts w:hint="eastAsia" w:cs="Times New Roman"/>
          <w:color w:val="auto"/>
          <w:lang w:val="en-US" w:eastAsia="zh-CN"/>
        </w:rPr>
        <w:t>3</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 xml:space="preserve">  项目厂区5</w:t>
      </w:r>
      <w:r>
        <w:rPr>
          <w:rFonts w:hint="eastAsia" w:cs="Times New Roman"/>
          <w:color w:val="auto"/>
          <w:lang w:val="en-US" w:eastAsia="zh-CN"/>
        </w:rPr>
        <w:t>00</w:t>
      </w:r>
      <w:r>
        <w:rPr>
          <w:rFonts w:hint="default" w:ascii="Times New Roman" w:hAnsi="Times New Roman" w:eastAsia="宋体" w:cs="Times New Roman"/>
          <w:color w:val="auto"/>
          <w:lang w:val="en-US" w:eastAsia="zh-CN"/>
        </w:rPr>
        <w:t>m范围周边</w:t>
      </w:r>
      <w:r>
        <w:rPr>
          <w:rFonts w:hint="eastAsia" w:cs="Times New Roman"/>
          <w:color w:val="auto"/>
          <w:lang w:val="en-US" w:eastAsia="zh-CN"/>
        </w:rPr>
        <w:t>环境风险受体</w:t>
      </w:r>
      <w:r>
        <w:rPr>
          <w:rFonts w:hint="default" w:ascii="Times New Roman" w:hAnsi="Times New Roman" w:eastAsia="宋体" w:cs="Times New Roman"/>
          <w:color w:val="auto"/>
          <w:lang w:val="en-US" w:eastAsia="zh-CN"/>
        </w:rPr>
        <w:t>分布示意图</w:t>
      </w:r>
    </w:p>
    <w:p>
      <w:pPr>
        <w:pStyle w:val="27"/>
        <w:keepNext w:val="0"/>
        <w:keepLines w:val="0"/>
        <w:pageBreakBefore w:val="0"/>
        <w:widowControl/>
        <w:kinsoku/>
        <w:wordWrap/>
        <w:overflowPunct/>
        <w:topLinePunct w:val="0"/>
        <w:autoSpaceDE/>
        <w:autoSpaceDN/>
        <w:bidi w:val="0"/>
        <w:adjustRightInd/>
        <w:snapToGrid/>
        <w:spacing w:before="0" w:beforeLines="0" w:line="360" w:lineRule="auto"/>
        <w:ind w:firstLine="0"/>
        <w:textAlignment w:val="auto"/>
        <w:rPr>
          <w:rFonts w:hint="eastAsia" w:ascii="Times New Roman" w:hAnsi="Times New Roman" w:eastAsia="宋体" w:cs="Times New Roman"/>
          <w:color w:val="auto"/>
          <w:szCs w:val="28"/>
          <w:lang w:eastAsia="zh-CN"/>
        </w:rPr>
      </w:pPr>
      <w:r>
        <w:rPr>
          <w:rFonts w:hint="default" w:ascii="Times New Roman" w:hAnsi="Times New Roman" w:eastAsia="宋体" w:cs="Times New Roman"/>
          <w:color w:val="auto"/>
          <w:szCs w:val="28"/>
        </w:rPr>
        <w:t>表</w:t>
      </w:r>
      <w:r>
        <w:rPr>
          <w:rFonts w:hint="eastAsia" w:cs="Times New Roman"/>
          <w:color w:val="auto"/>
          <w:lang w:val="en-US" w:eastAsia="zh-CN"/>
        </w:rPr>
        <w:t>3</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rPr>
        <w:t>-</w:t>
      </w:r>
      <w:r>
        <w:rPr>
          <w:rFonts w:hint="eastAsia" w:cs="Times New Roman"/>
          <w:color w:val="auto"/>
          <w:lang w:val="en-US" w:eastAsia="zh-CN"/>
        </w:rPr>
        <w:t>2</w:t>
      </w:r>
      <w:r>
        <w:rPr>
          <w:rFonts w:hint="default" w:ascii="Times New Roman" w:hAnsi="Times New Roman" w:eastAsia="宋体" w:cs="Times New Roman"/>
          <w:color w:val="auto"/>
          <w:lang w:val="en-US" w:eastAsia="zh-CN"/>
        </w:rPr>
        <w:t xml:space="preserve">  项目</w:t>
      </w:r>
      <w:r>
        <w:rPr>
          <w:rFonts w:hint="default" w:ascii="Times New Roman" w:hAnsi="Times New Roman" w:eastAsia="宋体" w:cs="Times New Roman"/>
        </w:rPr>
        <w:t>周边</w:t>
      </w:r>
      <w:r>
        <w:rPr>
          <w:rFonts w:hint="eastAsia" w:cs="Times New Roman"/>
          <w:lang w:val="en-US" w:eastAsia="zh-CN"/>
        </w:rPr>
        <w:t>5000米内</w:t>
      </w:r>
      <w:r>
        <w:rPr>
          <w:rFonts w:hint="eastAsia" w:cs="Times New Roman"/>
          <w:lang w:eastAsia="zh-CN"/>
        </w:rPr>
        <w:t>环境风险受体目标</w:t>
      </w:r>
      <w:r>
        <w:rPr>
          <w:rFonts w:hint="default" w:ascii="Times New Roman" w:hAnsi="Times New Roman" w:eastAsia="宋体" w:cs="Times New Roman"/>
        </w:rPr>
        <w:t>分布情况</w:t>
      </w:r>
    </w:p>
    <w:tbl>
      <w:tblPr>
        <w:tblStyle w:val="15"/>
        <w:tblW w:w="477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3132"/>
        <w:gridCol w:w="1276"/>
        <w:gridCol w:w="1320"/>
        <w:gridCol w:w="15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8" w:type="pct"/>
            <w:tcBorders>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序号</w:t>
            </w:r>
          </w:p>
        </w:tc>
        <w:tc>
          <w:tcPr>
            <w:tcW w:w="1924" w:type="pct"/>
            <w:tcBorders>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敏感点</w:t>
            </w:r>
          </w:p>
        </w:tc>
        <w:tc>
          <w:tcPr>
            <w:tcW w:w="784" w:type="pct"/>
            <w:tcBorders>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规模（人）</w:t>
            </w:r>
          </w:p>
        </w:tc>
        <w:tc>
          <w:tcPr>
            <w:tcW w:w="811" w:type="pct"/>
            <w:tcBorders>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相对方位</w:t>
            </w:r>
          </w:p>
        </w:tc>
        <w:tc>
          <w:tcPr>
            <w:tcW w:w="961" w:type="pct"/>
            <w:tcBorders>
              <w:left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最近距离（m）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8" w:type="pct"/>
            <w:tcBorders>
              <w:top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p>
        </w:tc>
        <w:tc>
          <w:tcPr>
            <w:tcW w:w="1924"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大桥社区</w:t>
            </w:r>
          </w:p>
        </w:tc>
        <w:tc>
          <w:tcPr>
            <w:tcW w:w="784"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15000</w:t>
            </w:r>
          </w:p>
        </w:tc>
        <w:tc>
          <w:tcPr>
            <w:tcW w:w="811"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西</w:t>
            </w:r>
          </w:p>
        </w:tc>
        <w:tc>
          <w:tcPr>
            <w:tcW w:w="961" w:type="pct"/>
            <w:tcBorders>
              <w:top w:val="single" w:color="auto" w:sz="6" w:space="0"/>
              <w:left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8" w:type="pct"/>
            <w:tcBorders>
              <w:top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w:t>
            </w:r>
          </w:p>
        </w:tc>
        <w:tc>
          <w:tcPr>
            <w:tcW w:w="1924"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白水湖社区</w:t>
            </w:r>
          </w:p>
        </w:tc>
        <w:tc>
          <w:tcPr>
            <w:tcW w:w="784"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65000</w:t>
            </w:r>
          </w:p>
        </w:tc>
        <w:tc>
          <w:tcPr>
            <w:tcW w:w="811"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西</w:t>
            </w:r>
          </w:p>
        </w:tc>
        <w:tc>
          <w:tcPr>
            <w:tcW w:w="961" w:type="pct"/>
            <w:tcBorders>
              <w:top w:val="single" w:color="auto" w:sz="6" w:space="0"/>
              <w:left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8" w:type="pct"/>
            <w:tcBorders>
              <w:top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w:t>
            </w:r>
          </w:p>
        </w:tc>
        <w:tc>
          <w:tcPr>
            <w:tcW w:w="1924"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普济宫社区</w:t>
            </w:r>
          </w:p>
        </w:tc>
        <w:tc>
          <w:tcPr>
            <w:tcW w:w="784"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10000</w:t>
            </w:r>
          </w:p>
        </w:tc>
        <w:tc>
          <w:tcPr>
            <w:tcW w:w="811"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北</w:t>
            </w:r>
          </w:p>
        </w:tc>
        <w:tc>
          <w:tcPr>
            <w:tcW w:w="961" w:type="pct"/>
            <w:tcBorders>
              <w:top w:val="single" w:color="auto" w:sz="6" w:space="0"/>
              <w:left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rPr>
            </w:pPr>
            <w:r>
              <w:rPr>
                <w:rFonts w:hint="eastAsia" w:cs="Times New Roman"/>
                <w:color w:val="auto"/>
                <w:sz w:val="24"/>
                <w:szCs w:val="24"/>
                <w:lang w:val="en-US" w:eastAsia="zh-CN"/>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8" w:type="pct"/>
            <w:tcBorders>
              <w:top w:val="single" w:color="auto" w:sz="6" w:space="0"/>
              <w:bottom w:val="single" w:color="auto" w:sz="12"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w:t>
            </w:r>
          </w:p>
        </w:tc>
        <w:tc>
          <w:tcPr>
            <w:tcW w:w="1924" w:type="pct"/>
            <w:tcBorders>
              <w:top w:val="single" w:color="auto" w:sz="6" w:space="0"/>
              <w:left w:val="single" w:color="auto" w:sz="6" w:space="0"/>
              <w:bottom w:val="single" w:color="auto" w:sz="12"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石化社区</w:t>
            </w:r>
          </w:p>
        </w:tc>
        <w:tc>
          <w:tcPr>
            <w:tcW w:w="784" w:type="pct"/>
            <w:tcBorders>
              <w:top w:val="single" w:color="auto" w:sz="6" w:space="0"/>
              <w:left w:val="single" w:color="auto" w:sz="6" w:space="0"/>
              <w:bottom w:val="single" w:color="auto" w:sz="12"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38000</w:t>
            </w:r>
          </w:p>
        </w:tc>
        <w:tc>
          <w:tcPr>
            <w:tcW w:w="811" w:type="pct"/>
            <w:tcBorders>
              <w:top w:val="single" w:color="auto" w:sz="6" w:space="0"/>
              <w:left w:val="single" w:color="auto" w:sz="6" w:space="0"/>
              <w:bottom w:val="single" w:color="auto" w:sz="12"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东</w:t>
            </w:r>
          </w:p>
        </w:tc>
        <w:tc>
          <w:tcPr>
            <w:tcW w:w="961" w:type="pct"/>
            <w:tcBorders>
              <w:top w:val="single" w:color="auto" w:sz="6" w:space="0"/>
              <w:left w:val="single" w:color="auto" w:sz="6" w:space="0"/>
              <w:bottom w:val="single" w:color="auto" w:sz="12"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1900</w:t>
            </w:r>
          </w:p>
        </w:tc>
      </w:tr>
    </w:tbl>
    <w:p>
      <w:pPr>
        <w:pStyle w:val="19"/>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eastAsia="宋体" w:cs="Times New Roman"/>
          <w:lang w:eastAsia="zh-CN"/>
        </w:rPr>
      </w:pPr>
      <w:r>
        <w:rPr>
          <w:sz w:val="24"/>
        </w:rPr>
        <mc:AlternateContent>
          <mc:Choice Requires="wps">
            <w:drawing>
              <wp:anchor distT="0" distB="0" distL="114300" distR="114300" simplePos="0" relativeHeight="251663360" behindDoc="0" locked="0" layoutInCell="1" allowOverlap="1">
                <wp:simplePos x="0" y="0"/>
                <wp:positionH relativeFrom="column">
                  <wp:posOffset>658495</wp:posOffset>
                </wp:positionH>
                <wp:positionV relativeFrom="paragraph">
                  <wp:posOffset>112395</wp:posOffset>
                </wp:positionV>
                <wp:extent cx="3285490" cy="2027555"/>
                <wp:effectExtent l="167640" t="448945" r="185420" b="457200"/>
                <wp:wrapNone/>
                <wp:docPr id="14" name="圆角矩形 14"/>
                <wp:cNvGraphicFramePr/>
                <a:graphic xmlns:a="http://schemas.openxmlformats.org/drawingml/2006/main">
                  <a:graphicData uri="http://schemas.microsoft.com/office/word/2010/wordprocessingShape">
                    <wps:wsp>
                      <wps:cNvSpPr/>
                      <wps:spPr>
                        <a:xfrm rot="20280000">
                          <a:off x="2174875" y="1522095"/>
                          <a:ext cx="3285490" cy="202755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1.85pt;margin-top:8.85pt;height:159.65pt;width:258.7pt;rotation:-1441792f;z-index:251663360;v-text-anchor:middle;mso-width-relative:page;mso-height-relative:page;" filled="f" stroked="t" coordsize="21600,21600" arcsize="0.166666666666667" o:gfxdata="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Lu4VHa&#10;AAAACgEAAA8AAAAAAAAAAQAgAAAAIgAAAGRycy9kb3ducmV2LnhtbFBLAQIUABQAAAAIAIdO4kAG&#10;F1aWkAIAAPQEAAAOAAAAAAAAAAEAIAAAACkBAABkcnMvZTJvRG9jLnhtbFBLBQYAAAAABgAGAFkB&#10;AAArBgAAAAA=&#10;">
                <v:fill on="f" focussize="0,0"/>
                <v:stroke weight="1.5pt" color="#FF0000 [3204]" miterlimit="8" joinstyle="miter"/>
                <v:imagedata o:title=""/>
                <o:lock v:ext="edit" aspectratio="f"/>
              </v:roundrect>
            </w:pict>
          </mc:Fallback>
        </mc:AlternateContent>
      </w:r>
      <w:r>
        <w:drawing>
          <wp:inline distT="0" distB="0" distL="114300" distR="114300">
            <wp:extent cx="5272405" cy="2824480"/>
            <wp:effectExtent l="0" t="0" r="4445" b="13970"/>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5"/>
                    <pic:cNvPicPr>
                      <a:picLocks noChangeAspect="1"/>
                    </pic:cNvPicPr>
                  </pic:nvPicPr>
                  <pic:blipFill>
                    <a:blip r:embed="rId8"/>
                    <a:stretch>
                      <a:fillRect/>
                    </a:stretch>
                  </pic:blipFill>
                  <pic:spPr>
                    <a:xfrm>
                      <a:off x="0" y="0"/>
                      <a:ext cx="5272405" cy="2824480"/>
                    </a:xfrm>
                    <a:prstGeom prst="rect">
                      <a:avLst/>
                    </a:prstGeom>
                    <a:noFill/>
                    <a:ln>
                      <a:noFill/>
                    </a:ln>
                  </pic:spPr>
                </pic:pic>
              </a:graphicData>
            </a:graphic>
          </wp:inline>
        </w:drawing>
      </w:r>
    </w:p>
    <w:p>
      <w:pPr>
        <w:pStyle w:val="27"/>
        <w:keepNext w:val="0"/>
        <w:keepLines w:val="0"/>
        <w:pageBreakBefore w:val="0"/>
        <w:widowControl/>
        <w:kinsoku/>
        <w:wordWrap/>
        <w:overflowPunct/>
        <w:topLinePunct w:val="0"/>
        <w:autoSpaceDE/>
        <w:autoSpaceDN/>
        <w:bidi w:val="0"/>
        <w:adjustRightInd/>
        <w:snapToGrid/>
        <w:spacing w:before="0" w:beforeLines="0" w:line="360" w:lineRule="auto"/>
        <w:ind w:firstLine="0"/>
        <w:textAlignment w:val="auto"/>
        <w:rPr>
          <w:rFonts w:hint="eastAsia" w:ascii="Times New Roman" w:hAnsi="Times New Roman" w:eastAsia="宋体" w:cs="Times New Roman"/>
          <w:color w:val="auto"/>
          <w:szCs w:val="28"/>
          <w:lang w:eastAsia="zh-CN"/>
        </w:rPr>
      </w:pPr>
      <w:r>
        <w:rPr>
          <w:rFonts w:hint="eastAsia" w:ascii="Times New Roman" w:hAnsi="Times New Roman" w:eastAsia="宋体" w:cs="Times New Roman"/>
          <w:color w:val="auto"/>
          <w:szCs w:val="28"/>
          <w:lang w:eastAsia="zh-CN"/>
        </w:rPr>
        <w:t>图</w:t>
      </w:r>
      <w:r>
        <w:rPr>
          <w:rFonts w:hint="eastAsia" w:cs="Times New Roman"/>
          <w:color w:val="auto"/>
          <w:lang w:val="en-US" w:eastAsia="zh-CN"/>
        </w:rPr>
        <w:t>3</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 xml:space="preserve">  项目厂区5km范围</w:t>
      </w:r>
      <w:r>
        <w:rPr>
          <w:rFonts w:hint="eastAsia" w:cs="Times New Roman"/>
          <w:color w:val="auto"/>
          <w:lang w:val="en-US" w:eastAsia="zh-CN"/>
        </w:rPr>
        <w:t>环境风险受体</w:t>
      </w:r>
      <w:r>
        <w:rPr>
          <w:rFonts w:hint="default" w:ascii="Times New Roman" w:hAnsi="Times New Roman" w:eastAsia="宋体" w:cs="Times New Roman"/>
          <w:color w:val="auto"/>
          <w:lang w:val="en-US" w:eastAsia="zh-CN"/>
        </w:rPr>
        <w:t>分布示意图</w:t>
      </w:r>
    </w:p>
    <w:p>
      <w:pPr>
        <w:pStyle w:val="27"/>
        <w:keepNext w:val="0"/>
        <w:keepLines w:val="0"/>
        <w:pageBreakBefore w:val="0"/>
        <w:widowControl/>
        <w:kinsoku/>
        <w:wordWrap/>
        <w:overflowPunct/>
        <w:topLinePunct w:val="0"/>
        <w:autoSpaceDE/>
        <w:autoSpaceDN/>
        <w:bidi w:val="0"/>
        <w:adjustRightInd/>
        <w:snapToGrid/>
        <w:spacing w:before="0" w:beforeLines="0" w:line="360" w:lineRule="auto"/>
        <w:ind w:firstLine="0"/>
        <w:textAlignment w:val="auto"/>
        <w:rPr>
          <w:rFonts w:hint="eastAsia" w:ascii="Times New Roman" w:hAnsi="Times New Roman" w:eastAsia="宋体" w:cs="Times New Roman"/>
          <w:color w:val="auto"/>
          <w:szCs w:val="28"/>
          <w:lang w:eastAsia="zh-CN"/>
        </w:rPr>
      </w:pPr>
      <w:r>
        <w:rPr>
          <w:rFonts w:hint="default" w:ascii="Times New Roman" w:hAnsi="Times New Roman" w:eastAsia="宋体" w:cs="Times New Roman"/>
          <w:color w:val="auto"/>
          <w:szCs w:val="28"/>
        </w:rPr>
        <w:t>表</w:t>
      </w:r>
      <w:r>
        <w:rPr>
          <w:rFonts w:hint="eastAsia" w:cs="Times New Roman"/>
          <w:color w:val="auto"/>
          <w:lang w:val="en-US" w:eastAsia="zh-CN"/>
        </w:rPr>
        <w:t>3</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 xml:space="preserve">  项目</w:t>
      </w:r>
      <w:r>
        <w:rPr>
          <w:rFonts w:hint="default" w:ascii="Times New Roman" w:hAnsi="Times New Roman" w:eastAsia="宋体" w:cs="Times New Roman"/>
        </w:rPr>
        <w:t>周边</w:t>
      </w:r>
      <w:r>
        <w:rPr>
          <w:rFonts w:hint="eastAsia" w:cs="Times New Roman"/>
          <w:lang w:val="en-US" w:eastAsia="zh-CN"/>
        </w:rPr>
        <w:t>地表水</w:t>
      </w:r>
      <w:r>
        <w:rPr>
          <w:rFonts w:hint="eastAsia" w:cs="Times New Roman"/>
          <w:lang w:eastAsia="zh-CN"/>
        </w:rPr>
        <w:t>环境保护目标</w:t>
      </w:r>
      <w:r>
        <w:rPr>
          <w:rFonts w:hint="default" w:ascii="Times New Roman" w:hAnsi="Times New Roman" w:eastAsia="宋体" w:cs="Times New Roman"/>
        </w:rPr>
        <w:t>分布情况</w:t>
      </w:r>
    </w:p>
    <w:tbl>
      <w:tblPr>
        <w:tblStyle w:val="15"/>
        <w:tblW w:w="463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2999"/>
        <w:gridCol w:w="837"/>
        <w:gridCol w:w="909"/>
        <w:gridCol w:w="24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tcBorders>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序号</w:t>
            </w:r>
          </w:p>
        </w:tc>
        <w:tc>
          <w:tcPr>
            <w:tcW w:w="1898" w:type="pct"/>
            <w:tcBorders>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敏感点</w:t>
            </w:r>
          </w:p>
        </w:tc>
        <w:tc>
          <w:tcPr>
            <w:tcW w:w="530" w:type="pct"/>
            <w:tcBorders>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规模</w:t>
            </w:r>
          </w:p>
        </w:tc>
        <w:tc>
          <w:tcPr>
            <w:tcW w:w="575" w:type="pct"/>
            <w:tcBorders>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相对方位</w:t>
            </w:r>
          </w:p>
        </w:tc>
        <w:tc>
          <w:tcPr>
            <w:tcW w:w="1564" w:type="pct"/>
            <w:tcBorders>
              <w:left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最近距离（m）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tcBorders>
              <w:top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p>
        </w:tc>
        <w:tc>
          <w:tcPr>
            <w:tcW w:w="1898"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长江</w:t>
            </w:r>
          </w:p>
        </w:tc>
        <w:tc>
          <w:tcPr>
            <w:tcW w:w="530"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大江</w:t>
            </w:r>
          </w:p>
        </w:tc>
        <w:tc>
          <w:tcPr>
            <w:tcW w:w="575"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北</w:t>
            </w:r>
          </w:p>
        </w:tc>
        <w:tc>
          <w:tcPr>
            <w:tcW w:w="1564" w:type="pct"/>
            <w:tcBorders>
              <w:top w:val="single" w:color="auto" w:sz="6" w:space="0"/>
              <w:left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Times New Roman"/>
                <w:color w:val="auto"/>
                <w:sz w:val="24"/>
                <w:szCs w:val="24"/>
                <w:lang w:val="en-US" w:eastAsia="zh-CN"/>
              </w:rPr>
            </w:pPr>
            <w:r>
              <w:rPr>
                <w:rFonts w:hint="eastAsia" w:cs="Times New Roman"/>
                <w:color w:val="auto"/>
                <w:sz w:val="24"/>
                <w:szCs w:val="24"/>
                <w:lang w:val="en-US" w:eastAsia="zh-CN"/>
              </w:rPr>
              <w:t>距离一库厂界120米</w:t>
            </w:r>
          </w:p>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s="Times New Roman"/>
                <w:color w:val="auto"/>
                <w:sz w:val="24"/>
                <w:szCs w:val="24"/>
                <w:lang w:val="en-US" w:eastAsia="zh-CN"/>
              </w:rPr>
            </w:pPr>
            <w:r>
              <w:rPr>
                <w:rFonts w:hint="eastAsia" w:cs="Times New Roman"/>
                <w:color w:val="auto"/>
                <w:sz w:val="24"/>
                <w:szCs w:val="24"/>
                <w:lang w:val="en-US" w:eastAsia="zh-CN"/>
              </w:rPr>
              <w:t>距离二库厂界560米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tcBorders>
              <w:top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w:t>
            </w:r>
          </w:p>
        </w:tc>
        <w:tc>
          <w:tcPr>
            <w:tcW w:w="1898"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长江八里江段长吻鮠鲶国家级水产种质资源保护区起始点</w:t>
            </w:r>
          </w:p>
        </w:tc>
        <w:tc>
          <w:tcPr>
            <w:tcW w:w="530"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w:t>
            </w:r>
          </w:p>
        </w:tc>
        <w:tc>
          <w:tcPr>
            <w:tcW w:w="575"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北</w:t>
            </w:r>
          </w:p>
        </w:tc>
        <w:tc>
          <w:tcPr>
            <w:tcW w:w="1564" w:type="pct"/>
            <w:tcBorders>
              <w:top w:val="single" w:color="auto" w:sz="6" w:space="0"/>
              <w:left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距离项目生活污水排污口下游100米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tcBorders>
              <w:top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w:t>
            </w:r>
          </w:p>
        </w:tc>
        <w:tc>
          <w:tcPr>
            <w:tcW w:w="1898"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琵琶湖</w:t>
            </w:r>
          </w:p>
        </w:tc>
        <w:tc>
          <w:tcPr>
            <w:tcW w:w="530"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湖泊</w:t>
            </w:r>
          </w:p>
        </w:tc>
        <w:tc>
          <w:tcPr>
            <w:tcW w:w="575"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p>
        </w:tc>
        <w:tc>
          <w:tcPr>
            <w:tcW w:w="1564" w:type="pct"/>
            <w:tcBorders>
              <w:top w:val="single" w:color="auto" w:sz="6" w:space="0"/>
              <w:left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位于一库二库中间，距离二库170米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tcBorders>
              <w:top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w:t>
            </w:r>
          </w:p>
        </w:tc>
        <w:tc>
          <w:tcPr>
            <w:tcW w:w="1898"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白水湖</w:t>
            </w:r>
          </w:p>
        </w:tc>
        <w:tc>
          <w:tcPr>
            <w:tcW w:w="530"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湖泊</w:t>
            </w:r>
          </w:p>
        </w:tc>
        <w:tc>
          <w:tcPr>
            <w:tcW w:w="575"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西</w:t>
            </w:r>
          </w:p>
        </w:tc>
        <w:tc>
          <w:tcPr>
            <w:tcW w:w="1564" w:type="pct"/>
            <w:tcBorders>
              <w:top w:val="single" w:color="auto" w:sz="6" w:space="0"/>
              <w:left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位于一库西面1700米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tcBorders>
              <w:top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5</w:t>
            </w:r>
          </w:p>
        </w:tc>
        <w:tc>
          <w:tcPr>
            <w:tcW w:w="1898"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Times New Roman"/>
                <w:color w:val="auto"/>
                <w:sz w:val="24"/>
                <w:szCs w:val="24"/>
                <w:lang w:eastAsia="zh-CN"/>
              </w:rPr>
            </w:pPr>
            <w:r>
              <w:rPr>
                <w:rFonts w:hint="eastAsia" w:cs="Times New Roman"/>
                <w:color w:val="auto"/>
                <w:sz w:val="24"/>
                <w:szCs w:val="24"/>
                <w:lang w:eastAsia="zh-CN"/>
              </w:rPr>
              <w:t>鄱阳湖支流</w:t>
            </w:r>
          </w:p>
        </w:tc>
        <w:tc>
          <w:tcPr>
            <w:tcW w:w="530"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Times New Roman"/>
                <w:color w:val="auto"/>
                <w:sz w:val="24"/>
                <w:szCs w:val="24"/>
                <w:lang w:val="en-US" w:eastAsia="zh-CN"/>
              </w:rPr>
            </w:pPr>
            <w:r>
              <w:rPr>
                <w:rFonts w:hint="eastAsia" w:cs="Times New Roman"/>
                <w:color w:val="auto"/>
                <w:sz w:val="24"/>
                <w:szCs w:val="24"/>
                <w:lang w:val="en-US" w:eastAsia="zh-CN"/>
              </w:rPr>
              <w:t>大湖</w:t>
            </w:r>
          </w:p>
        </w:tc>
        <w:tc>
          <w:tcPr>
            <w:tcW w:w="575"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Times New Roman"/>
                <w:color w:val="auto"/>
                <w:sz w:val="24"/>
                <w:szCs w:val="24"/>
                <w:lang w:eastAsia="zh-CN"/>
              </w:rPr>
            </w:pPr>
            <w:r>
              <w:rPr>
                <w:rFonts w:hint="eastAsia" w:cs="Times New Roman"/>
                <w:color w:val="auto"/>
                <w:sz w:val="24"/>
                <w:szCs w:val="24"/>
                <w:lang w:eastAsia="zh-CN"/>
              </w:rPr>
              <w:t>东南</w:t>
            </w:r>
          </w:p>
        </w:tc>
        <w:tc>
          <w:tcPr>
            <w:tcW w:w="1564" w:type="pct"/>
            <w:tcBorders>
              <w:top w:val="single" w:color="auto" w:sz="6" w:space="0"/>
              <w:left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s="Times New Roman"/>
                <w:color w:val="auto"/>
                <w:sz w:val="24"/>
                <w:szCs w:val="24"/>
                <w:lang w:val="en-US" w:eastAsia="zh-CN"/>
              </w:rPr>
            </w:pPr>
            <w:r>
              <w:rPr>
                <w:rFonts w:hint="eastAsia" w:cs="Times New Roman"/>
                <w:color w:val="auto"/>
                <w:sz w:val="24"/>
                <w:szCs w:val="24"/>
                <w:lang w:val="en-US" w:eastAsia="zh-CN"/>
              </w:rPr>
              <w:t>位于二库东南面6500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tcBorders>
              <w:top w:val="single" w:color="auto" w:sz="6" w:space="0"/>
              <w:bottom w:val="single" w:color="auto" w:sz="12"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s="Times New Roman"/>
                <w:color w:val="auto"/>
                <w:sz w:val="24"/>
                <w:szCs w:val="24"/>
                <w:lang w:val="en-US" w:eastAsia="zh-CN"/>
              </w:rPr>
            </w:pPr>
            <w:r>
              <w:rPr>
                <w:rFonts w:hint="eastAsia" w:cs="Times New Roman"/>
                <w:color w:val="auto"/>
                <w:sz w:val="24"/>
                <w:szCs w:val="24"/>
                <w:lang w:val="en-US" w:eastAsia="zh-CN"/>
              </w:rPr>
              <w:t>6</w:t>
            </w:r>
          </w:p>
        </w:tc>
        <w:tc>
          <w:tcPr>
            <w:tcW w:w="1898" w:type="pct"/>
            <w:tcBorders>
              <w:top w:val="single" w:color="auto" w:sz="6" w:space="0"/>
              <w:left w:val="single" w:color="auto" w:sz="6" w:space="0"/>
              <w:bottom w:val="single" w:color="auto" w:sz="12"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Times New Roman"/>
                <w:color w:val="auto"/>
                <w:sz w:val="24"/>
                <w:szCs w:val="24"/>
                <w:lang w:eastAsia="zh-CN"/>
              </w:rPr>
            </w:pPr>
            <w:r>
              <w:rPr>
                <w:rFonts w:hint="eastAsia" w:cs="Times New Roman"/>
                <w:color w:val="auto"/>
                <w:sz w:val="24"/>
                <w:szCs w:val="24"/>
                <w:lang w:eastAsia="zh-CN"/>
              </w:rPr>
              <w:t>河东水厂取水口</w:t>
            </w:r>
          </w:p>
        </w:tc>
        <w:tc>
          <w:tcPr>
            <w:tcW w:w="530" w:type="pct"/>
            <w:tcBorders>
              <w:top w:val="single" w:color="auto" w:sz="6" w:space="0"/>
              <w:left w:val="single" w:color="auto" w:sz="6" w:space="0"/>
              <w:bottom w:val="single" w:color="auto" w:sz="12"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Times New Roman"/>
                <w:color w:val="auto"/>
                <w:sz w:val="24"/>
                <w:szCs w:val="24"/>
                <w:lang w:val="en-US" w:eastAsia="zh-CN"/>
              </w:rPr>
            </w:pPr>
          </w:p>
        </w:tc>
        <w:tc>
          <w:tcPr>
            <w:tcW w:w="575" w:type="pct"/>
            <w:tcBorders>
              <w:top w:val="single" w:color="auto" w:sz="6" w:space="0"/>
              <w:left w:val="single" w:color="auto" w:sz="6" w:space="0"/>
              <w:bottom w:val="single" w:color="auto" w:sz="12" w:space="0"/>
              <w:right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Times New Roman"/>
                <w:color w:val="auto"/>
                <w:sz w:val="24"/>
                <w:szCs w:val="24"/>
                <w:lang w:eastAsia="zh-CN"/>
              </w:rPr>
            </w:pPr>
            <w:r>
              <w:rPr>
                <w:rFonts w:hint="eastAsia" w:cs="Times New Roman"/>
                <w:color w:val="auto"/>
                <w:sz w:val="24"/>
                <w:szCs w:val="24"/>
                <w:lang w:eastAsia="zh-CN"/>
              </w:rPr>
              <w:t>西</w:t>
            </w:r>
          </w:p>
        </w:tc>
        <w:tc>
          <w:tcPr>
            <w:tcW w:w="1564" w:type="pct"/>
            <w:tcBorders>
              <w:top w:val="single" w:color="auto" w:sz="6" w:space="0"/>
              <w:left w:val="single" w:color="auto" w:sz="6" w:space="0"/>
              <w:bottom w:val="single" w:color="auto" w:sz="12"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Times New Roman"/>
                <w:color w:val="auto"/>
                <w:sz w:val="24"/>
                <w:szCs w:val="24"/>
                <w:lang w:val="en-US" w:eastAsia="zh-CN"/>
              </w:rPr>
            </w:pPr>
            <w:r>
              <w:rPr>
                <w:rFonts w:hint="eastAsia" w:cs="Times New Roman"/>
                <w:color w:val="auto"/>
                <w:sz w:val="24"/>
                <w:szCs w:val="24"/>
                <w:lang w:val="en-US" w:eastAsia="zh-CN"/>
              </w:rPr>
              <w:t>距离项目生活污水排污口上游5500米</w:t>
            </w:r>
          </w:p>
        </w:tc>
      </w:tr>
    </w:tbl>
    <w:p>
      <w:pPr>
        <w:pStyle w:val="19"/>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pPr>
      <w:r>
        <w:drawing>
          <wp:inline distT="0" distB="0" distL="114300" distR="114300">
            <wp:extent cx="5160010" cy="2713990"/>
            <wp:effectExtent l="0" t="0" r="2540" b="10160"/>
            <wp:docPr id="1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8"/>
                    <pic:cNvPicPr>
                      <a:picLocks noChangeAspect="1"/>
                    </pic:cNvPicPr>
                  </pic:nvPicPr>
                  <pic:blipFill>
                    <a:blip r:embed="rId9"/>
                    <a:stretch>
                      <a:fillRect/>
                    </a:stretch>
                  </pic:blipFill>
                  <pic:spPr>
                    <a:xfrm>
                      <a:off x="0" y="0"/>
                      <a:ext cx="5160010" cy="2713990"/>
                    </a:xfrm>
                    <a:prstGeom prst="rect">
                      <a:avLst/>
                    </a:prstGeom>
                    <a:noFill/>
                    <a:ln>
                      <a:noFill/>
                    </a:ln>
                  </pic:spPr>
                </pic:pic>
              </a:graphicData>
            </a:graphic>
          </wp:inline>
        </w:drawing>
      </w:r>
    </w:p>
    <w:p>
      <w:pPr>
        <w:pStyle w:val="27"/>
        <w:keepNext w:val="0"/>
        <w:keepLines w:val="0"/>
        <w:pageBreakBefore w:val="0"/>
        <w:widowControl/>
        <w:kinsoku/>
        <w:wordWrap/>
        <w:overflowPunct/>
        <w:topLinePunct w:val="0"/>
        <w:autoSpaceDE/>
        <w:autoSpaceDN/>
        <w:bidi w:val="0"/>
        <w:adjustRightInd/>
        <w:snapToGrid/>
        <w:spacing w:before="0" w:beforeLines="0" w:line="360" w:lineRule="auto"/>
        <w:ind w:firstLine="0"/>
        <w:textAlignment w:val="auto"/>
        <w:rPr>
          <w:rFonts w:hint="eastAsia" w:ascii="Times New Roman" w:hAnsi="Times New Roman" w:eastAsia="宋体" w:cs="Times New Roman"/>
          <w:color w:val="auto"/>
          <w:szCs w:val="28"/>
          <w:lang w:eastAsia="zh-CN"/>
        </w:rPr>
      </w:pPr>
      <w:r>
        <w:rPr>
          <w:rFonts w:hint="eastAsia" w:ascii="Times New Roman" w:hAnsi="Times New Roman" w:eastAsia="宋体" w:cs="Times New Roman"/>
          <w:color w:val="auto"/>
          <w:szCs w:val="28"/>
          <w:lang w:eastAsia="zh-CN"/>
        </w:rPr>
        <w:t>图</w:t>
      </w:r>
      <w:r>
        <w:rPr>
          <w:rFonts w:hint="eastAsia" w:cs="Times New Roman"/>
          <w:color w:val="auto"/>
          <w:lang w:val="en-US" w:eastAsia="zh-CN"/>
        </w:rPr>
        <w:t>3</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rPr>
        <w:t>-</w:t>
      </w:r>
      <w:r>
        <w:rPr>
          <w:rFonts w:hint="eastAsia" w:cs="Times New Roman"/>
          <w:color w:val="auto"/>
          <w:lang w:val="en-US" w:eastAsia="zh-CN"/>
        </w:rPr>
        <w:t>2</w:t>
      </w:r>
      <w:r>
        <w:rPr>
          <w:rFonts w:hint="default" w:ascii="Times New Roman" w:hAnsi="Times New Roman" w:eastAsia="宋体" w:cs="Times New Roman"/>
          <w:color w:val="auto"/>
          <w:lang w:val="en-US" w:eastAsia="zh-CN"/>
        </w:rPr>
        <w:t xml:space="preserve">  项目厂区周边</w:t>
      </w:r>
      <w:r>
        <w:rPr>
          <w:rFonts w:hint="eastAsia" w:cs="Times New Roman"/>
          <w:color w:val="auto"/>
          <w:lang w:val="en-US" w:eastAsia="zh-CN"/>
        </w:rPr>
        <w:t>地表水</w:t>
      </w:r>
      <w:r>
        <w:rPr>
          <w:rFonts w:hint="default" w:ascii="Times New Roman" w:hAnsi="Times New Roman" w:eastAsia="宋体" w:cs="Times New Roman"/>
          <w:color w:val="auto"/>
          <w:lang w:val="en-US" w:eastAsia="zh-CN"/>
        </w:rPr>
        <w:t>敏感点分布示意图</w:t>
      </w:r>
    </w:p>
    <w:p>
      <w:pPr>
        <w:pStyle w:val="21"/>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outlineLvl w:val="0"/>
        <w:rPr>
          <w:rFonts w:hint="default" w:ascii="Times New Roman" w:hAnsi="Times New Roman" w:eastAsia="宋体" w:cs="Times New Roman"/>
          <w:sz w:val="30"/>
          <w:szCs w:val="30"/>
        </w:rPr>
      </w:pPr>
      <w:bookmarkStart w:id="42" w:name="_Toc7760"/>
      <w:r>
        <w:rPr>
          <w:rFonts w:hint="eastAsia" w:eastAsia="宋体" w:cs="Times New Roman"/>
          <w:sz w:val="30"/>
          <w:szCs w:val="30"/>
          <w:lang w:val="en-US" w:eastAsia="zh-CN"/>
        </w:rPr>
        <w:t>3</w:t>
      </w:r>
      <w:r>
        <w:rPr>
          <w:rFonts w:hint="default" w:ascii="Times New Roman" w:hAnsi="Times New Roman" w:eastAsia="宋体" w:cs="Times New Roman"/>
          <w:sz w:val="30"/>
          <w:szCs w:val="30"/>
        </w:rPr>
        <w:t>.</w:t>
      </w:r>
      <w:r>
        <w:rPr>
          <w:rFonts w:hint="eastAsia" w:ascii="Times New Roman" w:hAnsi="Times New Roman" w:eastAsia="宋体" w:cs="Times New Roman"/>
          <w:sz w:val="30"/>
          <w:szCs w:val="30"/>
          <w:lang w:val="en-US" w:eastAsia="zh-CN"/>
        </w:rPr>
        <w:t>3涉及环境风险物质情况</w:t>
      </w:r>
      <w:bookmarkEnd w:id="42"/>
    </w:p>
    <w:p>
      <w:pPr>
        <w:pStyle w:val="22"/>
        <w:keepNext w:val="0"/>
        <w:keepLines w:val="0"/>
        <w:pageBreakBefore w:val="0"/>
        <w:widowControl w:val="0"/>
        <w:kinsoku/>
        <w:wordWrap/>
        <w:overflowPunct/>
        <w:topLinePunct w:val="0"/>
        <w:autoSpaceDE/>
        <w:autoSpaceDN/>
        <w:bidi w:val="0"/>
        <w:adjustRightInd/>
        <w:snapToGrid/>
        <w:spacing w:before="0" w:beforeLines="0" w:after="0" w:afterLines="0"/>
        <w:textAlignment w:val="auto"/>
        <w:outlineLvl w:val="1"/>
        <w:rPr>
          <w:rFonts w:hint="eastAsia" w:ascii="Times New Roman" w:hAnsi="Times New Roman" w:eastAsia="宋体" w:cs="Times New Roman"/>
          <w:lang w:eastAsia="zh-CN"/>
        </w:rPr>
      </w:pPr>
      <w:bookmarkStart w:id="43" w:name="_Toc12267"/>
      <w:r>
        <w:rPr>
          <w:rFonts w:hint="eastAsia" w:eastAsia="宋体" w:cs="Times New Roman"/>
          <w:lang w:val="en-US" w:eastAsia="zh-CN"/>
        </w:rPr>
        <w:t>3.</w:t>
      </w:r>
      <w:r>
        <w:rPr>
          <w:rFonts w:hint="eastAsia" w:ascii="Times New Roman" w:hAnsi="Times New Roman" w:eastAsia="宋体" w:cs="Times New Roman"/>
          <w:lang w:val="en-US" w:eastAsia="zh-CN"/>
        </w:rPr>
        <w:t>3</w:t>
      </w:r>
      <w:r>
        <w:rPr>
          <w:rFonts w:hint="default" w:ascii="Times New Roman" w:hAnsi="Times New Roman" w:eastAsia="宋体" w:cs="Times New Roman"/>
        </w:rPr>
        <w:t>.1涉及风险物质统计</w:t>
      </w:r>
      <w:bookmarkEnd w:id="43"/>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t>对照《企业事业单位突发环境事件分级方法》（HJ941-2018）附录A中涉气风险物质和可挥发造成突发大气环境事件的固态、液态风险物质可统计出本项目涉及环境风险物质及储存情况见下表3.3-1。</w:t>
      </w:r>
    </w:p>
    <w:p>
      <w:pPr>
        <w:pStyle w:val="27"/>
        <w:keepNext w:val="0"/>
        <w:keepLines w:val="0"/>
        <w:pageBreakBefore w:val="0"/>
        <w:widowControl/>
        <w:kinsoku/>
        <w:wordWrap/>
        <w:overflowPunct/>
        <w:topLinePunct w:val="0"/>
        <w:autoSpaceDE/>
        <w:autoSpaceDN/>
        <w:bidi w:val="0"/>
        <w:adjustRightInd/>
        <w:snapToGrid/>
        <w:spacing w:before="0" w:beforeLines="0" w:line="360" w:lineRule="auto"/>
        <w:ind w:firstLine="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Cs w:val="28"/>
        </w:rPr>
        <w:t>表</w:t>
      </w:r>
      <w:r>
        <w:rPr>
          <w:rFonts w:hint="eastAsia" w:cs="Times New Roman"/>
          <w:color w:val="auto"/>
          <w:lang w:val="en-US" w:eastAsia="zh-CN"/>
        </w:rPr>
        <w:t>3</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 xml:space="preserve">  项目项目油库存储情况一览表</w:t>
      </w:r>
    </w:p>
    <w:tbl>
      <w:tblPr>
        <w:tblStyle w:val="1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1322"/>
        <w:gridCol w:w="1773"/>
        <w:gridCol w:w="961"/>
        <w:gridCol w:w="927"/>
        <w:gridCol w:w="1286"/>
        <w:gridCol w:w="12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7" w:type="dxa"/>
            <w:tcBorders>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序号</w:t>
            </w:r>
          </w:p>
        </w:tc>
        <w:tc>
          <w:tcPr>
            <w:tcW w:w="1322" w:type="dxa"/>
            <w:tcBorders>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储罐编号</w:t>
            </w:r>
          </w:p>
        </w:tc>
        <w:tc>
          <w:tcPr>
            <w:tcW w:w="1773" w:type="dxa"/>
            <w:tcBorders>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主要储存油品</w:t>
            </w:r>
          </w:p>
        </w:tc>
        <w:tc>
          <w:tcPr>
            <w:tcW w:w="927" w:type="dxa"/>
            <w:tcBorders>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sz w:val="24"/>
                <w:szCs w:val="24"/>
                <w:lang w:eastAsia="zh-CN"/>
              </w:rPr>
            </w:pPr>
            <w:r>
              <w:rPr>
                <w:rFonts w:hint="default" w:ascii="Times New Roman" w:hAnsi="Times New Roman" w:cs="Times New Roman"/>
                <w:sz w:val="24"/>
                <w:szCs w:val="24"/>
                <w:lang w:eastAsia="zh-CN"/>
              </w:rPr>
              <w:t>容</w:t>
            </w:r>
            <w:r>
              <w:rPr>
                <w:rFonts w:hint="default" w:ascii="Times New Roman" w:hAnsi="Times New Roman" w:eastAsia="宋体" w:cs="Times New Roman"/>
                <w:sz w:val="24"/>
                <w:szCs w:val="24"/>
              </w:rPr>
              <w:t>量</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eastAsia="zh-CN"/>
              </w:rPr>
              <w:t>）</w:t>
            </w:r>
          </w:p>
        </w:tc>
        <w:tc>
          <w:tcPr>
            <w:tcW w:w="927" w:type="dxa"/>
            <w:tcBorders>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储存量</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t</w:t>
            </w:r>
            <w:r>
              <w:rPr>
                <w:rFonts w:hint="default" w:ascii="Times New Roman" w:hAnsi="Times New Roman" w:cs="Times New Roman"/>
                <w:sz w:val="24"/>
                <w:szCs w:val="24"/>
                <w:lang w:eastAsia="zh-CN"/>
              </w:rPr>
              <w:t>）</w:t>
            </w:r>
          </w:p>
        </w:tc>
        <w:tc>
          <w:tcPr>
            <w:tcW w:w="1286" w:type="dxa"/>
            <w:tcBorders>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形态</w:t>
            </w:r>
          </w:p>
        </w:tc>
        <w:tc>
          <w:tcPr>
            <w:tcW w:w="1286" w:type="dxa"/>
            <w:tcBorders>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lang w:eastAsia="zh-CN"/>
              </w:rPr>
              <w:t>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7"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w:t>
            </w:r>
          </w:p>
        </w:tc>
        <w:tc>
          <w:tcPr>
            <w:tcW w:w="1322"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1"/>
                <w:szCs w:val="21"/>
              </w:rPr>
              <w:t>G-01-050</w:t>
            </w:r>
          </w:p>
        </w:tc>
        <w:tc>
          <w:tcPr>
            <w:tcW w:w="1773"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1"/>
                <w:szCs w:val="21"/>
              </w:rPr>
              <w:t>92#汽油</w:t>
            </w:r>
          </w:p>
        </w:tc>
        <w:tc>
          <w:tcPr>
            <w:tcW w:w="927" w:type="dxa"/>
            <w:tcBorders>
              <w:top w:val="single" w:color="auto" w:sz="6" w:space="0"/>
              <w:bottom w:val="single" w:color="auto" w:sz="6" w:space="0"/>
            </w:tcBorders>
            <w:shd w:val="clear" w:color="auto" w:fill="auto"/>
            <w:noWrap w:val="0"/>
            <w:vAlign w:val="center"/>
          </w:tcPr>
          <w:p>
            <w:pPr>
              <w:pStyle w:val="10"/>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4"/>
                <w:szCs w:val="24"/>
              </w:rPr>
              <w:t>5000</w:t>
            </w:r>
          </w:p>
        </w:tc>
        <w:tc>
          <w:tcPr>
            <w:tcW w:w="927" w:type="dxa"/>
            <w:tcBorders>
              <w:top w:val="single" w:color="auto" w:sz="6" w:space="0"/>
              <w:bottom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3000</w:t>
            </w:r>
          </w:p>
        </w:tc>
        <w:tc>
          <w:tcPr>
            <w:tcW w:w="1286"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液体</w:t>
            </w:r>
          </w:p>
        </w:tc>
        <w:tc>
          <w:tcPr>
            <w:tcW w:w="1286"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lang w:eastAsia="zh-CN"/>
              </w:rPr>
              <w:t>易燃易爆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7"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w:t>
            </w:r>
          </w:p>
        </w:tc>
        <w:tc>
          <w:tcPr>
            <w:tcW w:w="1322"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1"/>
                <w:szCs w:val="21"/>
              </w:rPr>
              <w:t>G-02-050</w:t>
            </w:r>
          </w:p>
        </w:tc>
        <w:tc>
          <w:tcPr>
            <w:tcW w:w="1773"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1"/>
                <w:szCs w:val="21"/>
              </w:rPr>
              <w:t>95#汽油</w:t>
            </w:r>
          </w:p>
        </w:tc>
        <w:tc>
          <w:tcPr>
            <w:tcW w:w="927" w:type="dxa"/>
            <w:tcBorders>
              <w:top w:val="single" w:color="auto" w:sz="6" w:space="0"/>
              <w:bottom w:val="single" w:color="auto" w:sz="6" w:space="0"/>
            </w:tcBorders>
            <w:shd w:val="clear" w:color="auto" w:fill="auto"/>
            <w:noWrap w:val="0"/>
            <w:vAlign w:val="center"/>
          </w:tcPr>
          <w:p>
            <w:pPr>
              <w:pStyle w:val="10"/>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4"/>
                <w:szCs w:val="24"/>
              </w:rPr>
              <w:t>5000</w:t>
            </w:r>
          </w:p>
        </w:tc>
        <w:tc>
          <w:tcPr>
            <w:tcW w:w="927" w:type="dxa"/>
            <w:tcBorders>
              <w:top w:val="single" w:color="auto" w:sz="6" w:space="0"/>
              <w:bottom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3000</w:t>
            </w:r>
          </w:p>
        </w:tc>
        <w:tc>
          <w:tcPr>
            <w:tcW w:w="1286"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液体</w:t>
            </w:r>
          </w:p>
        </w:tc>
        <w:tc>
          <w:tcPr>
            <w:tcW w:w="1286"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易燃易爆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7"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w:t>
            </w:r>
          </w:p>
        </w:tc>
        <w:tc>
          <w:tcPr>
            <w:tcW w:w="1322"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1"/>
                <w:szCs w:val="21"/>
              </w:rPr>
              <w:t>G-03-050</w:t>
            </w:r>
          </w:p>
        </w:tc>
        <w:tc>
          <w:tcPr>
            <w:tcW w:w="1773"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1"/>
                <w:szCs w:val="21"/>
              </w:rPr>
              <w:t>95#汽油</w:t>
            </w:r>
          </w:p>
        </w:tc>
        <w:tc>
          <w:tcPr>
            <w:tcW w:w="927" w:type="dxa"/>
            <w:tcBorders>
              <w:top w:val="single" w:color="auto" w:sz="6" w:space="0"/>
              <w:bottom w:val="single" w:color="auto" w:sz="6" w:space="0"/>
            </w:tcBorders>
            <w:shd w:val="clear" w:color="auto" w:fill="auto"/>
            <w:noWrap w:val="0"/>
            <w:vAlign w:val="center"/>
          </w:tcPr>
          <w:p>
            <w:pPr>
              <w:pStyle w:val="10"/>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4"/>
                <w:szCs w:val="24"/>
              </w:rPr>
              <w:t>5000</w:t>
            </w:r>
          </w:p>
        </w:tc>
        <w:tc>
          <w:tcPr>
            <w:tcW w:w="927" w:type="dxa"/>
            <w:tcBorders>
              <w:top w:val="single" w:color="auto" w:sz="6" w:space="0"/>
              <w:bottom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3000</w:t>
            </w:r>
          </w:p>
        </w:tc>
        <w:tc>
          <w:tcPr>
            <w:tcW w:w="1286"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液体</w:t>
            </w:r>
          </w:p>
        </w:tc>
        <w:tc>
          <w:tcPr>
            <w:tcW w:w="1286"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易燃易爆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7"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4</w:t>
            </w:r>
          </w:p>
        </w:tc>
        <w:tc>
          <w:tcPr>
            <w:tcW w:w="1322"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1"/>
                <w:szCs w:val="21"/>
              </w:rPr>
              <w:t>G-04-050</w:t>
            </w:r>
          </w:p>
        </w:tc>
        <w:tc>
          <w:tcPr>
            <w:tcW w:w="1773"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1"/>
                <w:szCs w:val="21"/>
              </w:rPr>
              <w:t>92#汽油</w:t>
            </w:r>
          </w:p>
        </w:tc>
        <w:tc>
          <w:tcPr>
            <w:tcW w:w="927" w:type="dxa"/>
            <w:tcBorders>
              <w:top w:val="single" w:color="auto" w:sz="6" w:space="0"/>
              <w:bottom w:val="single" w:color="auto" w:sz="6" w:space="0"/>
            </w:tcBorders>
            <w:shd w:val="clear" w:color="auto" w:fill="auto"/>
            <w:noWrap w:val="0"/>
            <w:vAlign w:val="center"/>
          </w:tcPr>
          <w:p>
            <w:pPr>
              <w:pStyle w:val="10"/>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4"/>
                <w:szCs w:val="24"/>
              </w:rPr>
              <w:t>5000</w:t>
            </w:r>
          </w:p>
        </w:tc>
        <w:tc>
          <w:tcPr>
            <w:tcW w:w="927" w:type="dxa"/>
            <w:tcBorders>
              <w:top w:val="single" w:color="auto" w:sz="6" w:space="0"/>
              <w:bottom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3000</w:t>
            </w:r>
          </w:p>
        </w:tc>
        <w:tc>
          <w:tcPr>
            <w:tcW w:w="1286"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液体</w:t>
            </w:r>
          </w:p>
        </w:tc>
        <w:tc>
          <w:tcPr>
            <w:tcW w:w="1286"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易燃易爆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7"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5</w:t>
            </w:r>
          </w:p>
        </w:tc>
        <w:tc>
          <w:tcPr>
            <w:tcW w:w="1322"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1"/>
                <w:szCs w:val="21"/>
              </w:rPr>
              <w:t>G-05-100</w:t>
            </w:r>
          </w:p>
        </w:tc>
        <w:tc>
          <w:tcPr>
            <w:tcW w:w="1773"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1"/>
                <w:szCs w:val="21"/>
              </w:rPr>
              <w:t>92#汽油</w:t>
            </w:r>
          </w:p>
        </w:tc>
        <w:tc>
          <w:tcPr>
            <w:tcW w:w="927" w:type="dxa"/>
            <w:tcBorders>
              <w:top w:val="single" w:color="auto" w:sz="6" w:space="0"/>
              <w:bottom w:val="single" w:color="auto" w:sz="6" w:space="0"/>
            </w:tcBorders>
            <w:shd w:val="clear" w:color="auto" w:fill="auto"/>
            <w:noWrap w:val="0"/>
            <w:vAlign w:val="center"/>
          </w:tcPr>
          <w:p>
            <w:pPr>
              <w:pStyle w:val="10"/>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4"/>
                <w:szCs w:val="24"/>
              </w:rPr>
              <w:t>10000</w:t>
            </w:r>
          </w:p>
        </w:tc>
        <w:tc>
          <w:tcPr>
            <w:tcW w:w="927" w:type="dxa"/>
            <w:tcBorders>
              <w:top w:val="single" w:color="auto" w:sz="6" w:space="0"/>
              <w:bottom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6000</w:t>
            </w:r>
          </w:p>
        </w:tc>
        <w:tc>
          <w:tcPr>
            <w:tcW w:w="1286"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液体</w:t>
            </w:r>
          </w:p>
        </w:tc>
        <w:tc>
          <w:tcPr>
            <w:tcW w:w="1286"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易燃易爆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7"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6</w:t>
            </w:r>
          </w:p>
        </w:tc>
        <w:tc>
          <w:tcPr>
            <w:tcW w:w="1322"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1"/>
                <w:szCs w:val="21"/>
              </w:rPr>
              <w:t>G-06-100</w:t>
            </w:r>
          </w:p>
        </w:tc>
        <w:tc>
          <w:tcPr>
            <w:tcW w:w="1773"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1"/>
                <w:szCs w:val="21"/>
              </w:rPr>
              <w:t>92#汽油</w:t>
            </w:r>
          </w:p>
        </w:tc>
        <w:tc>
          <w:tcPr>
            <w:tcW w:w="927" w:type="dxa"/>
            <w:tcBorders>
              <w:top w:val="single" w:color="auto" w:sz="6" w:space="0"/>
              <w:bottom w:val="single" w:color="auto" w:sz="6" w:space="0"/>
            </w:tcBorders>
            <w:shd w:val="clear" w:color="auto" w:fill="auto"/>
            <w:noWrap w:val="0"/>
            <w:vAlign w:val="center"/>
          </w:tcPr>
          <w:p>
            <w:pPr>
              <w:pStyle w:val="10"/>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4"/>
                <w:szCs w:val="24"/>
              </w:rPr>
              <w:t>10000</w:t>
            </w:r>
          </w:p>
        </w:tc>
        <w:tc>
          <w:tcPr>
            <w:tcW w:w="927" w:type="dxa"/>
            <w:tcBorders>
              <w:top w:val="single" w:color="auto" w:sz="6" w:space="0"/>
              <w:bottom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6000</w:t>
            </w:r>
          </w:p>
        </w:tc>
        <w:tc>
          <w:tcPr>
            <w:tcW w:w="1286"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液体</w:t>
            </w:r>
          </w:p>
        </w:tc>
        <w:tc>
          <w:tcPr>
            <w:tcW w:w="1286"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易燃易爆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7"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7</w:t>
            </w:r>
          </w:p>
        </w:tc>
        <w:tc>
          <w:tcPr>
            <w:tcW w:w="1322"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1"/>
                <w:szCs w:val="21"/>
              </w:rPr>
              <w:t>G-07-100</w:t>
            </w:r>
          </w:p>
        </w:tc>
        <w:tc>
          <w:tcPr>
            <w:tcW w:w="1773"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1"/>
                <w:szCs w:val="21"/>
              </w:rPr>
              <w:t>92#汽油</w:t>
            </w:r>
          </w:p>
        </w:tc>
        <w:tc>
          <w:tcPr>
            <w:tcW w:w="927" w:type="dxa"/>
            <w:tcBorders>
              <w:top w:val="single" w:color="auto" w:sz="6" w:space="0"/>
              <w:bottom w:val="single" w:color="auto" w:sz="6" w:space="0"/>
            </w:tcBorders>
            <w:shd w:val="clear" w:color="auto" w:fill="auto"/>
            <w:noWrap w:val="0"/>
            <w:vAlign w:val="center"/>
          </w:tcPr>
          <w:p>
            <w:pPr>
              <w:pStyle w:val="10"/>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4"/>
                <w:szCs w:val="24"/>
              </w:rPr>
              <w:t>10000</w:t>
            </w:r>
          </w:p>
        </w:tc>
        <w:tc>
          <w:tcPr>
            <w:tcW w:w="927" w:type="dxa"/>
            <w:tcBorders>
              <w:top w:val="single" w:color="auto" w:sz="6" w:space="0"/>
              <w:bottom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6000</w:t>
            </w:r>
          </w:p>
        </w:tc>
        <w:tc>
          <w:tcPr>
            <w:tcW w:w="1286"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液体</w:t>
            </w:r>
          </w:p>
        </w:tc>
        <w:tc>
          <w:tcPr>
            <w:tcW w:w="1286"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易燃易爆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7"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8</w:t>
            </w:r>
          </w:p>
        </w:tc>
        <w:tc>
          <w:tcPr>
            <w:tcW w:w="1322"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1"/>
                <w:szCs w:val="21"/>
              </w:rPr>
              <w:t>G-08-100</w:t>
            </w:r>
          </w:p>
        </w:tc>
        <w:tc>
          <w:tcPr>
            <w:tcW w:w="1773"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1"/>
                <w:szCs w:val="21"/>
              </w:rPr>
              <w:t>95#汽油</w:t>
            </w:r>
          </w:p>
        </w:tc>
        <w:tc>
          <w:tcPr>
            <w:tcW w:w="927" w:type="dxa"/>
            <w:tcBorders>
              <w:top w:val="single" w:color="auto" w:sz="6" w:space="0"/>
              <w:bottom w:val="single" w:color="auto" w:sz="6" w:space="0"/>
            </w:tcBorders>
            <w:shd w:val="clear" w:color="auto" w:fill="auto"/>
            <w:noWrap w:val="0"/>
            <w:vAlign w:val="center"/>
          </w:tcPr>
          <w:p>
            <w:pPr>
              <w:pStyle w:val="10"/>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4"/>
                <w:szCs w:val="24"/>
              </w:rPr>
              <w:t>10000</w:t>
            </w:r>
          </w:p>
        </w:tc>
        <w:tc>
          <w:tcPr>
            <w:tcW w:w="927" w:type="dxa"/>
            <w:tcBorders>
              <w:top w:val="single" w:color="auto" w:sz="6" w:space="0"/>
              <w:bottom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6000</w:t>
            </w:r>
          </w:p>
        </w:tc>
        <w:tc>
          <w:tcPr>
            <w:tcW w:w="1286"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液体</w:t>
            </w:r>
          </w:p>
        </w:tc>
        <w:tc>
          <w:tcPr>
            <w:tcW w:w="1286"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易燃易爆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7"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9</w:t>
            </w:r>
          </w:p>
        </w:tc>
        <w:tc>
          <w:tcPr>
            <w:tcW w:w="1322"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1"/>
                <w:szCs w:val="21"/>
              </w:rPr>
              <w:t>D-01-300</w:t>
            </w:r>
          </w:p>
        </w:tc>
        <w:tc>
          <w:tcPr>
            <w:tcW w:w="1773"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1"/>
                <w:szCs w:val="21"/>
              </w:rPr>
              <w:t>0#柴油</w:t>
            </w:r>
          </w:p>
        </w:tc>
        <w:tc>
          <w:tcPr>
            <w:tcW w:w="927" w:type="dxa"/>
            <w:tcBorders>
              <w:top w:val="single" w:color="auto" w:sz="6" w:space="0"/>
              <w:bottom w:val="single" w:color="auto" w:sz="6" w:space="0"/>
            </w:tcBorders>
            <w:shd w:val="clear" w:color="auto" w:fill="auto"/>
            <w:noWrap w:val="0"/>
            <w:vAlign w:val="center"/>
          </w:tcPr>
          <w:p>
            <w:pPr>
              <w:pStyle w:val="10"/>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4"/>
                <w:szCs w:val="24"/>
              </w:rPr>
              <w:t>30000</w:t>
            </w:r>
          </w:p>
        </w:tc>
        <w:tc>
          <w:tcPr>
            <w:tcW w:w="927" w:type="dxa"/>
            <w:tcBorders>
              <w:top w:val="single" w:color="auto" w:sz="6" w:space="0"/>
              <w:bottom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20640</w:t>
            </w:r>
          </w:p>
        </w:tc>
        <w:tc>
          <w:tcPr>
            <w:tcW w:w="1286"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液体</w:t>
            </w:r>
          </w:p>
        </w:tc>
        <w:tc>
          <w:tcPr>
            <w:tcW w:w="1286"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易燃易爆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7"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10</w:t>
            </w:r>
          </w:p>
        </w:tc>
        <w:tc>
          <w:tcPr>
            <w:tcW w:w="1322"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1"/>
                <w:szCs w:val="21"/>
              </w:rPr>
              <w:t>D-02-300</w:t>
            </w:r>
          </w:p>
        </w:tc>
        <w:tc>
          <w:tcPr>
            <w:tcW w:w="1773"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1"/>
                <w:szCs w:val="21"/>
              </w:rPr>
              <w:t>0#柴油</w:t>
            </w:r>
          </w:p>
        </w:tc>
        <w:tc>
          <w:tcPr>
            <w:tcW w:w="927" w:type="dxa"/>
            <w:tcBorders>
              <w:top w:val="single" w:color="auto" w:sz="6" w:space="0"/>
              <w:bottom w:val="single" w:color="auto" w:sz="6" w:space="0"/>
            </w:tcBorders>
            <w:shd w:val="clear" w:color="auto" w:fill="auto"/>
            <w:noWrap w:val="0"/>
            <w:vAlign w:val="center"/>
          </w:tcPr>
          <w:p>
            <w:pPr>
              <w:pStyle w:val="10"/>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4"/>
                <w:szCs w:val="24"/>
              </w:rPr>
              <w:t>30000</w:t>
            </w:r>
          </w:p>
        </w:tc>
        <w:tc>
          <w:tcPr>
            <w:tcW w:w="927" w:type="dxa"/>
            <w:tcBorders>
              <w:top w:val="single" w:color="auto" w:sz="6" w:space="0"/>
              <w:bottom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20640</w:t>
            </w:r>
          </w:p>
        </w:tc>
        <w:tc>
          <w:tcPr>
            <w:tcW w:w="1286"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液体</w:t>
            </w:r>
          </w:p>
        </w:tc>
        <w:tc>
          <w:tcPr>
            <w:tcW w:w="1286"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易燃易爆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7"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11</w:t>
            </w:r>
          </w:p>
        </w:tc>
        <w:tc>
          <w:tcPr>
            <w:tcW w:w="1322"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1"/>
                <w:szCs w:val="21"/>
              </w:rPr>
              <w:t>D-03-300</w:t>
            </w:r>
          </w:p>
        </w:tc>
        <w:tc>
          <w:tcPr>
            <w:tcW w:w="1773"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1"/>
                <w:szCs w:val="21"/>
              </w:rPr>
              <w:t>0#柴油</w:t>
            </w:r>
          </w:p>
        </w:tc>
        <w:tc>
          <w:tcPr>
            <w:tcW w:w="927" w:type="dxa"/>
            <w:tcBorders>
              <w:top w:val="single" w:color="auto" w:sz="6" w:space="0"/>
              <w:bottom w:val="single" w:color="auto" w:sz="6" w:space="0"/>
            </w:tcBorders>
            <w:shd w:val="clear" w:color="auto" w:fill="auto"/>
            <w:noWrap w:val="0"/>
            <w:vAlign w:val="center"/>
          </w:tcPr>
          <w:p>
            <w:pPr>
              <w:pStyle w:val="10"/>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4"/>
                <w:szCs w:val="24"/>
              </w:rPr>
              <w:t>30000</w:t>
            </w:r>
          </w:p>
        </w:tc>
        <w:tc>
          <w:tcPr>
            <w:tcW w:w="927" w:type="dxa"/>
            <w:tcBorders>
              <w:top w:val="single" w:color="auto" w:sz="6" w:space="0"/>
              <w:bottom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20640</w:t>
            </w:r>
          </w:p>
        </w:tc>
        <w:tc>
          <w:tcPr>
            <w:tcW w:w="1286"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液体</w:t>
            </w:r>
          </w:p>
        </w:tc>
        <w:tc>
          <w:tcPr>
            <w:tcW w:w="1286"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易燃易爆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7"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12</w:t>
            </w:r>
          </w:p>
        </w:tc>
        <w:tc>
          <w:tcPr>
            <w:tcW w:w="1322"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4"/>
                <w:szCs w:val="24"/>
              </w:rPr>
            </w:pPr>
            <w:r>
              <w:rPr>
                <w:rFonts w:hint="eastAsia" w:ascii="Times New Roman" w:hAnsi="Times New Roman" w:cs="Times New Roman"/>
                <w:sz w:val="21"/>
                <w:szCs w:val="21"/>
                <w:lang w:val="en-US" w:eastAsia="zh-CN"/>
              </w:rPr>
              <w:t>G</w:t>
            </w:r>
            <w:r>
              <w:rPr>
                <w:rFonts w:hint="default" w:ascii="Times New Roman" w:hAnsi="Times New Roman" w:cs="Times New Roman"/>
                <w:sz w:val="21"/>
                <w:szCs w:val="21"/>
              </w:rPr>
              <w:t>-04-200</w:t>
            </w:r>
          </w:p>
        </w:tc>
        <w:tc>
          <w:tcPr>
            <w:tcW w:w="1773"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1"/>
                <w:szCs w:val="21"/>
              </w:rPr>
              <w:t>92#汽油</w:t>
            </w:r>
          </w:p>
        </w:tc>
        <w:tc>
          <w:tcPr>
            <w:tcW w:w="927" w:type="dxa"/>
            <w:tcBorders>
              <w:top w:val="single" w:color="auto" w:sz="6" w:space="0"/>
              <w:bottom w:val="single" w:color="auto" w:sz="6" w:space="0"/>
            </w:tcBorders>
            <w:shd w:val="clear" w:color="auto" w:fill="auto"/>
            <w:noWrap w:val="0"/>
            <w:vAlign w:val="center"/>
          </w:tcPr>
          <w:p>
            <w:pPr>
              <w:pStyle w:val="10"/>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4"/>
                <w:szCs w:val="24"/>
              </w:rPr>
              <w:t>20000</w:t>
            </w:r>
          </w:p>
        </w:tc>
        <w:tc>
          <w:tcPr>
            <w:tcW w:w="927" w:type="dxa"/>
            <w:tcBorders>
              <w:top w:val="single" w:color="auto" w:sz="6" w:space="0"/>
              <w:bottom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13760</w:t>
            </w:r>
          </w:p>
        </w:tc>
        <w:tc>
          <w:tcPr>
            <w:tcW w:w="1286"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液体</w:t>
            </w:r>
          </w:p>
        </w:tc>
        <w:tc>
          <w:tcPr>
            <w:tcW w:w="1286"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易燃易爆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7"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13</w:t>
            </w:r>
          </w:p>
        </w:tc>
        <w:tc>
          <w:tcPr>
            <w:tcW w:w="1322"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1"/>
                <w:szCs w:val="21"/>
              </w:rPr>
              <w:t>D-09-050</w:t>
            </w:r>
          </w:p>
        </w:tc>
        <w:tc>
          <w:tcPr>
            <w:tcW w:w="1773"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1"/>
                <w:szCs w:val="21"/>
              </w:rPr>
              <w:t>0#柴油</w:t>
            </w:r>
          </w:p>
        </w:tc>
        <w:tc>
          <w:tcPr>
            <w:tcW w:w="927" w:type="dxa"/>
            <w:tcBorders>
              <w:top w:val="single" w:color="auto" w:sz="6" w:space="0"/>
              <w:bottom w:val="single" w:color="auto" w:sz="6" w:space="0"/>
            </w:tcBorders>
            <w:shd w:val="clear" w:color="auto" w:fill="auto"/>
            <w:noWrap w:val="0"/>
            <w:vAlign w:val="center"/>
          </w:tcPr>
          <w:p>
            <w:pPr>
              <w:pStyle w:val="10"/>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4"/>
                <w:szCs w:val="24"/>
              </w:rPr>
              <w:t>5000</w:t>
            </w:r>
          </w:p>
        </w:tc>
        <w:tc>
          <w:tcPr>
            <w:tcW w:w="927" w:type="dxa"/>
            <w:tcBorders>
              <w:top w:val="single" w:color="auto" w:sz="6" w:space="0"/>
              <w:bottom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3440</w:t>
            </w:r>
          </w:p>
        </w:tc>
        <w:tc>
          <w:tcPr>
            <w:tcW w:w="1286"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液体</w:t>
            </w:r>
          </w:p>
        </w:tc>
        <w:tc>
          <w:tcPr>
            <w:tcW w:w="1286"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易燃易爆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7"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14</w:t>
            </w:r>
          </w:p>
        </w:tc>
        <w:tc>
          <w:tcPr>
            <w:tcW w:w="1322"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4"/>
                <w:szCs w:val="24"/>
              </w:rPr>
            </w:pPr>
            <w:r>
              <w:rPr>
                <w:rFonts w:hint="eastAsia" w:ascii="Times New Roman" w:hAnsi="Times New Roman" w:cs="Times New Roman"/>
                <w:sz w:val="21"/>
                <w:szCs w:val="21"/>
                <w:lang w:val="en-US" w:eastAsia="zh-CN"/>
              </w:rPr>
              <w:t>G</w:t>
            </w:r>
            <w:r>
              <w:rPr>
                <w:rFonts w:hint="default" w:ascii="Times New Roman" w:hAnsi="Times New Roman" w:cs="Times New Roman"/>
                <w:sz w:val="21"/>
                <w:szCs w:val="21"/>
              </w:rPr>
              <w:t>-10-050</w:t>
            </w:r>
          </w:p>
        </w:tc>
        <w:tc>
          <w:tcPr>
            <w:tcW w:w="1773"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1"/>
                <w:szCs w:val="21"/>
              </w:rPr>
              <w:t>92#汽油</w:t>
            </w:r>
          </w:p>
        </w:tc>
        <w:tc>
          <w:tcPr>
            <w:tcW w:w="927" w:type="dxa"/>
            <w:tcBorders>
              <w:top w:val="single" w:color="auto" w:sz="6" w:space="0"/>
              <w:bottom w:val="single" w:color="auto" w:sz="6" w:space="0"/>
            </w:tcBorders>
            <w:shd w:val="clear" w:color="auto" w:fill="auto"/>
            <w:noWrap w:val="0"/>
            <w:vAlign w:val="center"/>
          </w:tcPr>
          <w:p>
            <w:pPr>
              <w:pStyle w:val="10"/>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4"/>
                <w:szCs w:val="24"/>
              </w:rPr>
              <w:t>5000</w:t>
            </w:r>
          </w:p>
        </w:tc>
        <w:tc>
          <w:tcPr>
            <w:tcW w:w="927" w:type="dxa"/>
            <w:tcBorders>
              <w:top w:val="single" w:color="auto" w:sz="6" w:space="0"/>
              <w:bottom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3000</w:t>
            </w:r>
          </w:p>
        </w:tc>
        <w:tc>
          <w:tcPr>
            <w:tcW w:w="1286"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液体</w:t>
            </w:r>
          </w:p>
        </w:tc>
        <w:tc>
          <w:tcPr>
            <w:tcW w:w="1286"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易燃易爆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7"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15</w:t>
            </w:r>
          </w:p>
        </w:tc>
        <w:tc>
          <w:tcPr>
            <w:tcW w:w="1322"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1"/>
                <w:szCs w:val="21"/>
              </w:rPr>
              <w:t>D-11-050</w:t>
            </w:r>
          </w:p>
        </w:tc>
        <w:tc>
          <w:tcPr>
            <w:tcW w:w="1773" w:type="dxa"/>
            <w:tcBorders>
              <w:top w:val="single" w:color="auto" w:sz="6" w:space="0"/>
              <w:bottom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1"/>
                <w:szCs w:val="21"/>
              </w:rPr>
              <w:t>0#柴油</w:t>
            </w:r>
          </w:p>
        </w:tc>
        <w:tc>
          <w:tcPr>
            <w:tcW w:w="927" w:type="dxa"/>
            <w:tcBorders>
              <w:top w:val="single" w:color="auto" w:sz="6" w:space="0"/>
              <w:bottom w:val="single" w:color="auto" w:sz="6" w:space="0"/>
            </w:tcBorders>
            <w:shd w:val="clear" w:color="auto" w:fill="auto"/>
            <w:noWrap w:val="0"/>
            <w:vAlign w:val="center"/>
          </w:tcPr>
          <w:p>
            <w:pPr>
              <w:pStyle w:val="10"/>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4"/>
                <w:szCs w:val="24"/>
              </w:rPr>
              <w:t>5000</w:t>
            </w:r>
          </w:p>
        </w:tc>
        <w:tc>
          <w:tcPr>
            <w:tcW w:w="927" w:type="dxa"/>
            <w:tcBorders>
              <w:top w:val="single" w:color="auto" w:sz="6" w:space="0"/>
              <w:bottom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3440</w:t>
            </w:r>
          </w:p>
        </w:tc>
        <w:tc>
          <w:tcPr>
            <w:tcW w:w="1286"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液体</w:t>
            </w:r>
          </w:p>
        </w:tc>
        <w:tc>
          <w:tcPr>
            <w:tcW w:w="1286" w:type="dxa"/>
            <w:tcBorders>
              <w:top w:val="single" w:color="auto" w:sz="6" w:space="0"/>
              <w:bottom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易燃易爆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7" w:type="dxa"/>
            <w:tcBorders>
              <w:top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16</w:t>
            </w:r>
          </w:p>
        </w:tc>
        <w:tc>
          <w:tcPr>
            <w:tcW w:w="1322" w:type="dxa"/>
            <w:tcBorders>
              <w:top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4"/>
                <w:szCs w:val="24"/>
              </w:rPr>
            </w:pPr>
            <w:r>
              <w:rPr>
                <w:rFonts w:hint="eastAsia" w:ascii="Times New Roman" w:hAnsi="Times New Roman" w:cs="Times New Roman"/>
                <w:sz w:val="21"/>
                <w:szCs w:val="21"/>
                <w:lang w:val="en-US" w:eastAsia="zh-CN"/>
              </w:rPr>
              <w:t>G</w:t>
            </w:r>
            <w:r>
              <w:rPr>
                <w:rFonts w:hint="default" w:ascii="Times New Roman" w:hAnsi="Times New Roman" w:cs="Times New Roman"/>
                <w:sz w:val="21"/>
                <w:szCs w:val="21"/>
              </w:rPr>
              <w:t>-12-050</w:t>
            </w:r>
          </w:p>
        </w:tc>
        <w:tc>
          <w:tcPr>
            <w:tcW w:w="1773" w:type="dxa"/>
            <w:tcBorders>
              <w:top w:val="single" w:color="auto" w:sz="6" w:space="0"/>
            </w:tcBorders>
            <w:shd w:val="clear" w:color="auto" w:fill="auto"/>
            <w:noWrap w:val="0"/>
            <w:vAlign w:val="center"/>
          </w:tcPr>
          <w:p>
            <w:pPr>
              <w:pStyle w:val="10"/>
              <w:spacing w:line="240" w:lineRule="auto"/>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1"/>
                <w:szCs w:val="21"/>
              </w:rPr>
              <w:t>92#汽油</w:t>
            </w:r>
          </w:p>
        </w:tc>
        <w:tc>
          <w:tcPr>
            <w:tcW w:w="927" w:type="dxa"/>
            <w:tcBorders>
              <w:top w:val="single" w:color="auto" w:sz="6" w:space="0"/>
            </w:tcBorders>
            <w:shd w:val="clear" w:color="auto" w:fill="auto"/>
            <w:noWrap w:val="0"/>
            <w:vAlign w:val="center"/>
          </w:tcPr>
          <w:p>
            <w:pPr>
              <w:pStyle w:val="10"/>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cs="Times New Roman"/>
                <w:sz w:val="24"/>
                <w:szCs w:val="24"/>
              </w:rPr>
              <w:t>5000</w:t>
            </w:r>
          </w:p>
        </w:tc>
        <w:tc>
          <w:tcPr>
            <w:tcW w:w="927" w:type="dxa"/>
            <w:tcBorders>
              <w:top w:val="single" w:color="auto" w:sz="6"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3000</w:t>
            </w:r>
          </w:p>
        </w:tc>
        <w:tc>
          <w:tcPr>
            <w:tcW w:w="1286" w:type="dxa"/>
            <w:tcBorders>
              <w:top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液体</w:t>
            </w:r>
          </w:p>
        </w:tc>
        <w:tc>
          <w:tcPr>
            <w:tcW w:w="1286" w:type="dxa"/>
            <w:tcBorders>
              <w:top w:val="single" w:color="auto" w:sz="6" w:space="0"/>
            </w:tcBorders>
            <w:shd w:val="clear" w:color="auto" w:fill="auto"/>
            <w:noWrap w:val="0"/>
            <w:vAlign w:val="center"/>
          </w:tcPr>
          <w:p>
            <w:pPr>
              <w:pStyle w:val="26"/>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易燃易爆</w:t>
            </w:r>
          </w:p>
        </w:tc>
      </w:tr>
    </w:tbl>
    <w:p>
      <w:pPr>
        <w:pStyle w:val="19"/>
        <w:ind w:left="0" w:leftChars="0" w:firstLine="0"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注：按各储罐设计储存量为罐容的80%计算，柴油密度按</w:t>
      </w:r>
      <w:r>
        <w:rPr>
          <w:rFonts w:hint="eastAsia" w:cs="Times New Roman"/>
          <w:sz w:val="18"/>
          <w:szCs w:val="18"/>
          <w:lang w:val="en-US" w:eastAsia="zh-CN"/>
        </w:rPr>
        <w:t>0.86t</w:t>
      </w:r>
      <w:r>
        <w:rPr>
          <w:rFonts w:hint="default" w:ascii="Times New Roman" w:hAnsi="Times New Roman" w:eastAsia="宋体" w:cs="Times New Roman"/>
          <w:sz w:val="18"/>
          <w:szCs w:val="18"/>
        </w:rPr>
        <w:t>/m</w:t>
      </w:r>
      <w:r>
        <w:rPr>
          <w:rFonts w:hint="default" w:ascii="Times New Roman" w:hAnsi="Times New Roman" w:eastAsia="宋体" w:cs="Times New Roman"/>
          <w:sz w:val="18"/>
          <w:szCs w:val="18"/>
          <w:vertAlign w:val="superscript"/>
        </w:rPr>
        <w:t>3</w:t>
      </w:r>
      <w:r>
        <w:rPr>
          <w:rFonts w:hint="default" w:ascii="Times New Roman" w:hAnsi="Times New Roman" w:eastAsia="宋体" w:cs="Times New Roman"/>
          <w:sz w:val="18"/>
          <w:szCs w:val="18"/>
        </w:rPr>
        <w:t>，汽油密度为</w:t>
      </w:r>
      <w:r>
        <w:rPr>
          <w:rFonts w:hint="eastAsia" w:cs="Times New Roman"/>
          <w:sz w:val="18"/>
          <w:szCs w:val="18"/>
          <w:lang w:val="en-US" w:eastAsia="zh-CN"/>
        </w:rPr>
        <w:t>0.75t</w:t>
      </w:r>
      <w:r>
        <w:rPr>
          <w:rFonts w:hint="default" w:ascii="Times New Roman" w:hAnsi="Times New Roman" w:eastAsia="宋体" w:cs="Times New Roman"/>
          <w:sz w:val="18"/>
          <w:szCs w:val="18"/>
        </w:rPr>
        <w:t>/m</w:t>
      </w:r>
      <w:r>
        <w:rPr>
          <w:rFonts w:hint="default" w:ascii="Times New Roman" w:hAnsi="Times New Roman" w:eastAsia="宋体" w:cs="Times New Roman"/>
          <w:sz w:val="18"/>
          <w:szCs w:val="18"/>
          <w:vertAlign w:val="superscript"/>
        </w:rPr>
        <w:t>3</w:t>
      </w:r>
      <w:r>
        <w:rPr>
          <w:rFonts w:hint="default" w:ascii="Times New Roman" w:hAnsi="Times New Roman" w:eastAsia="宋体" w:cs="Times New Roman"/>
          <w:sz w:val="18"/>
          <w:szCs w:val="18"/>
        </w:rPr>
        <w:t>。</w:t>
      </w:r>
    </w:p>
    <w:p>
      <w:pPr>
        <w:pStyle w:val="22"/>
        <w:keepNext w:val="0"/>
        <w:keepLines w:val="0"/>
        <w:pageBreakBefore w:val="0"/>
        <w:widowControl w:val="0"/>
        <w:kinsoku/>
        <w:wordWrap/>
        <w:overflowPunct/>
        <w:topLinePunct w:val="0"/>
        <w:autoSpaceDE/>
        <w:autoSpaceDN/>
        <w:bidi w:val="0"/>
        <w:adjustRightInd/>
        <w:snapToGrid/>
        <w:spacing w:before="0" w:beforeLines="0" w:after="0" w:afterLines="0"/>
        <w:textAlignment w:val="auto"/>
        <w:outlineLvl w:val="1"/>
        <w:rPr>
          <w:rFonts w:hint="eastAsia" w:ascii="Times New Roman" w:hAnsi="Times New Roman" w:eastAsia="宋体" w:cs="Times New Roman"/>
          <w:lang w:eastAsia="zh-CN"/>
        </w:rPr>
      </w:pPr>
      <w:bookmarkStart w:id="44" w:name="_Toc3410"/>
      <w:r>
        <w:rPr>
          <w:rFonts w:hint="eastAsia" w:eastAsia="宋体" w:cs="Times New Roman"/>
          <w:lang w:val="en-US" w:eastAsia="zh-CN"/>
        </w:rPr>
        <w:t>3.</w:t>
      </w:r>
      <w:r>
        <w:rPr>
          <w:rFonts w:hint="eastAsia" w:ascii="Times New Roman" w:hAnsi="Times New Roman" w:eastAsia="宋体" w:cs="Times New Roman"/>
          <w:lang w:val="en-US" w:eastAsia="zh-CN"/>
        </w:rPr>
        <w:t>3</w:t>
      </w:r>
      <w:r>
        <w:rPr>
          <w:rFonts w:hint="default" w:ascii="Times New Roman" w:hAnsi="Times New Roman" w:eastAsia="宋体" w:cs="Times New Roman"/>
        </w:rPr>
        <w:t>.</w:t>
      </w:r>
      <w:r>
        <w:rPr>
          <w:rFonts w:hint="eastAsia" w:ascii="Times New Roman" w:hAnsi="Times New Roman" w:eastAsia="宋体" w:cs="Times New Roman"/>
          <w:lang w:val="en-US" w:eastAsia="zh-CN"/>
        </w:rPr>
        <w:t>2主要风险物质理化性质</w:t>
      </w:r>
      <w:bookmarkEnd w:id="44"/>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t>根据《危险货物品名表说明》（GB12268-2012）企业储存柴油、汽油均属于第三类危险化学品，其中汽油的建规火险分级为甲级，柴油建规火险分级为乙级。理化性质详见下表。</w:t>
      </w:r>
    </w:p>
    <w:p>
      <w:pPr>
        <w:pStyle w:val="27"/>
        <w:keepNext w:val="0"/>
        <w:keepLines w:val="0"/>
        <w:pageBreakBefore w:val="0"/>
        <w:widowControl/>
        <w:kinsoku/>
        <w:wordWrap/>
        <w:overflowPunct/>
        <w:topLinePunct w:val="0"/>
        <w:autoSpaceDE/>
        <w:autoSpaceDN/>
        <w:bidi w:val="0"/>
        <w:adjustRightInd/>
        <w:snapToGrid/>
        <w:spacing w:before="0" w:beforeLines="0" w:line="360" w:lineRule="auto"/>
        <w:ind w:firstLine="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Cs w:val="28"/>
        </w:rPr>
        <w:t>表</w:t>
      </w:r>
      <w:r>
        <w:rPr>
          <w:rFonts w:hint="eastAsia" w:cs="Times New Roman"/>
          <w:color w:val="auto"/>
          <w:lang w:val="en-US" w:eastAsia="zh-CN"/>
        </w:rPr>
        <w:t>3</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lang w:val="en-US" w:eastAsia="zh-CN"/>
        </w:rPr>
        <w:t xml:space="preserve">  项目物质危险性识别一览表</w:t>
      </w:r>
    </w:p>
    <w:tbl>
      <w:tblPr>
        <w:tblStyle w:val="15"/>
        <w:tblW w:w="80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2"/>
        <w:gridCol w:w="1258"/>
        <w:gridCol w:w="1601"/>
        <w:gridCol w:w="3320"/>
        <w:gridCol w:w="12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612"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名称</w:t>
            </w:r>
          </w:p>
        </w:tc>
        <w:tc>
          <w:tcPr>
            <w:tcW w:w="1258"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理化特性</w:t>
            </w:r>
          </w:p>
        </w:tc>
        <w:tc>
          <w:tcPr>
            <w:tcW w:w="1601"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燃爆特性</w:t>
            </w:r>
          </w:p>
        </w:tc>
        <w:tc>
          <w:tcPr>
            <w:tcW w:w="332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健康危害</w:t>
            </w:r>
          </w:p>
        </w:tc>
        <w:tc>
          <w:tcPr>
            <w:tcW w:w="1246"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毒性级别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612"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kern w:val="2"/>
                <w:sz w:val="21"/>
                <w:szCs w:val="21"/>
                <w:lang w:val="en-US" w:eastAsia="zh-CN" w:bidi="ar-SA"/>
              </w:rPr>
            </w:pPr>
            <w:r>
              <w:rPr>
                <w:rFonts w:hint="eastAsia"/>
                <w:sz w:val="21"/>
                <w:szCs w:val="21"/>
              </w:rPr>
              <w:t>汽油</w:t>
            </w:r>
          </w:p>
        </w:tc>
        <w:tc>
          <w:tcPr>
            <w:tcW w:w="1258"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外观与性状：无色或淡黄色易挥发液体，具有特殊臭味。熔点&lt;60℃，沸点 40~200℃，相对密度：0.7~0.79(水=1)，相对密度：3.5（空</w:t>
            </w:r>
          </w:p>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kern w:val="2"/>
                <w:sz w:val="21"/>
                <w:szCs w:val="21"/>
                <w:lang w:val="en-US" w:eastAsia="zh-CN" w:bidi="ar-SA"/>
              </w:rPr>
            </w:pPr>
            <w:r>
              <w:rPr>
                <w:rFonts w:hint="eastAsia"/>
                <w:sz w:val="21"/>
                <w:szCs w:val="21"/>
              </w:rPr>
              <w:t>气=1），溶解性：不溶于水，易溶于苯、二硫化碳、醇、脂肪。</w:t>
            </w:r>
          </w:p>
        </w:tc>
        <w:tc>
          <w:tcPr>
            <w:tcW w:w="1601"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kern w:val="2"/>
                <w:sz w:val="21"/>
                <w:szCs w:val="21"/>
                <w:lang w:val="en-US" w:eastAsia="zh-CN" w:bidi="ar-SA"/>
              </w:rPr>
            </w:pPr>
            <w:r>
              <w:rPr>
                <w:rFonts w:hint="eastAsia"/>
                <w:sz w:val="21"/>
                <w:szCs w:val="21"/>
              </w:rPr>
              <w:t>可燃；闪点：-36~-28℃，爆炸下限为 1.3%，爆炸上限6.0%：引燃温度：415~530℃，最大爆炸压力：0.813 Mpa，危险特性：易燃，其蒸气与空气可形成爆炸性混合物；遇明火、高热及易燃烧爆炸，与氧化剂能发生强烈反应；其蒸气比空气重，能在较低处扩散到相当远的地方，遇明火会引着回燃。</w:t>
            </w:r>
          </w:p>
        </w:tc>
        <w:tc>
          <w:tcPr>
            <w:tcW w:w="332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侵入途径：吸入、食入、经皮吸收。</w:t>
            </w:r>
          </w:p>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急性中毒：对中枢神经系统有麻醉作用。轻度中毒症状有头晕、头痛、恶心、呕吐、步态不稳；高浓度吸入出现中毒性脑病；极高浓度吸入出现意识突然丧失、反射性呼吸停止，可伴有中毒性周围神经病及化学性肺炎；部分患者出现中毒性神经病。液体吸入呼吸道可引起吸入性肺炎。溅入眼内可致角膜溃疡、穿孔、甚至失明。皮肤接触致急性接触性皮炎、甚至灼伤。吞咽引起急性胃肠炎，重者出现</w:t>
            </w:r>
          </w:p>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类似急性中毒状态，并可引起肝、肾损害。</w:t>
            </w:r>
          </w:p>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慢性中素毒：神经衰弱综合症、植物神经功能紊乱、周围神经病；严重中毒出现中毒性脑病，症状类似</w:t>
            </w:r>
          </w:p>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精神分裂症，皮肤损害。</w:t>
            </w:r>
          </w:p>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kern w:val="2"/>
                <w:sz w:val="21"/>
                <w:szCs w:val="21"/>
                <w:lang w:val="en-US" w:eastAsia="zh-CN" w:bidi="ar-SA"/>
              </w:rPr>
            </w:pPr>
            <w:r>
              <w:rPr>
                <w:rFonts w:hint="eastAsia"/>
                <w:sz w:val="21"/>
                <w:szCs w:val="21"/>
              </w:rPr>
              <w:t>工作场所汽油接触限值：国家标准《工作场所有害因素职业接触限值》（GBZ2-2007）中规定工作场所汽油接触限值为：TWA（时间加权平均容许浓度（8 小时））：300mg/m</w:t>
            </w:r>
            <w:r>
              <w:rPr>
                <w:rFonts w:hint="eastAsia"/>
                <w:sz w:val="21"/>
                <w:szCs w:val="21"/>
                <w:vertAlign w:val="superscript"/>
              </w:rPr>
              <w:t>3</w:t>
            </w:r>
            <w:r>
              <w:rPr>
                <w:rFonts w:hint="eastAsia"/>
                <w:sz w:val="21"/>
                <w:szCs w:val="21"/>
              </w:rPr>
              <w:t>。</w:t>
            </w:r>
          </w:p>
        </w:tc>
        <w:tc>
          <w:tcPr>
            <w:tcW w:w="1246"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kern w:val="2"/>
                <w:sz w:val="21"/>
                <w:szCs w:val="21"/>
                <w:lang w:val="en-US" w:eastAsia="zh-CN" w:bidi="ar-SA"/>
              </w:rPr>
            </w:pPr>
            <w:r>
              <w:rPr>
                <w:rFonts w:hint="eastAsia"/>
                <w:sz w:val="21"/>
                <w:szCs w:val="21"/>
              </w:rPr>
              <w:t>根据国家标准《职业性接触毒物危害程度分级》（GB5044—1985）中工作场所接触毒物危害程度分级的确定原则，汽油的危害程度为IV级，属于轻度危害。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612"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kern w:val="2"/>
                <w:sz w:val="21"/>
                <w:szCs w:val="21"/>
                <w:lang w:val="en-US" w:eastAsia="zh-CN" w:bidi="ar-SA"/>
              </w:rPr>
            </w:pPr>
            <w:r>
              <w:rPr>
                <w:rFonts w:hint="eastAsia"/>
                <w:sz w:val="21"/>
                <w:szCs w:val="21"/>
              </w:rPr>
              <w:t>柴油</w:t>
            </w:r>
          </w:p>
        </w:tc>
        <w:tc>
          <w:tcPr>
            <w:tcW w:w="1258"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kern w:val="2"/>
                <w:sz w:val="21"/>
                <w:szCs w:val="21"/>
                <w:lang w:val="en-US" w:eastAsia="zh-CN" w:bidi="ar-SA"/>
              </w:rPr>
            </w:pPr>
            <w:r>
              <w:rPr>
                <w:rFonts w:hint="eastAsia"/>
                <w:sz w:val="21"/>
                <w:szCs w:val="21"/>
              </w:rPr>
              <w:t>稍有粘性的棕色液体。不溶于水，能与多种有机溶剂混溶</w:t>
            </w:r>
          </w:p>
        </w:tc>
        <w:tc>
          <w:tcPr>
            <w:tcW w:w="1601"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kern w:val="2"/>
                <w:sz w:val="21"/>
                <w:szCs w:val="21"/>
                <w:lang w:val="en-US" w:eastAsia="zh-CN" w:bidi="ar-SA"/>
              </w:rPr>
            </w:pPr>
            <w:r>
              <w:rPr>
                <w:rFonts w:hint="eastAsia"/>
                <w:sz w:val="21"/>
                <w:szCs w:val="21"/>
              </w:rPr>
              <w:t>遇明火、高热或氧化剂接触，有引起燃烧爆炸的危险。若遇高热，容器内压增大，有开裂和爆炸的危险。</w:t>
            </w:r>
          </w:p>
        </w:tc>
        <w:tc>
          <w:tcPr>
            <w:tcW w:w="332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kern w:val="2"/>
                <w:sz w:val="21"/>
                <w:szCs w:val="21"/>
                <w:lang w:val="en-US" w:eastAsia="zh-CN" w:bidi="ar-SA"/>
              </w:rPr>
            </w:pPr>
            <w:r>
              <w:rPr>
                <w:rFonts w:hint="eastAsia"/>
                <w:sz w:val="21"/>
                <w:szCs w:val="21"/>
              </w:rPr>
              <w:t>皮肤接触为主要吸收途径，可致急性肾脏损害。柴油可引起接触性皮炎、油性痤疮。吸入其雾滴或液体呛入可引起吸入性肺炎。能经胎盘进入胎儿血中。柴油可引起眼、鼻刺激症状，头晕及头痛。</w:t>
            </w:r>
          </w:p>
        </w:tc>
        <w:tc>
          <w:tcPr>
            <w:tcW w:w="1246"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kern w:val="2"/>
                <w:sz w:val="21"/>
                <w:szCs w:val="21"/>
                <w:lang w:val="en-US" w:eastAsia="zh-CN" w:bidi="ar-SA"/>
              </w:rPr>
            </w:pPr>
            <w:r>
              <w:rPr>
                <w:sz w:val="21"/>
                <w:szCs w:val="21"/>
              </w:rPr>
              <w:t>工作场所</w:t>
            </w:r>
            <w:r>
              <w:rPr>
                <w:sz w:val="21"/>
                <w:szCs w:val="21"/>
              </w:rPr>
              <w:fldChar w:fldCharType="begin"/>
            </w:r>
            <w:r>
              <w:rPr>
                <w:sz w:val="21"/>
                <w:szCs w:val="21"/>
              </w:rPr>
              <w:instrText xml:space="preserve"> HYPERLINK "https://baike.baidu.com/item/%E8%81%8C%E4%B8%9A%E6%8E%A5%E8%A7%A6%E9%99%90%E5%80%BC" \t "_blank" </w:instrText>
            </w:r>
            <w:r>
              <w:rPr>
                <w:sz w:val="21"/>
                <w:szCs w:val="21"/>
              </w:rPr>
              <w:fldChar w:fldCharType="separate"/>
            </w:r>
            <w:r>
              <w:rPr>
                <w:sz w:val="21"/>
                <w:szCs w:val="21"/>
              </w:rPr>
              <w:t>职业接触限值</w:t>
            </w:r>
            <w:r>
              <w:rPr>
                <w:sz w:val="21"/>
                <w:szCs w:val="21"/>
              </w:rPr>
              <w:fldChar w:fldCharType="end"/>
            </w:r>
            <w:r>
              <w:rPr>
                <w:sz w:val="21"/>
                <w:szCs w:val="21"/>
              </w:rPr>
              <w:t>中国MAC（</w:t>
            </w:r>
            <w:r>
              <w:rPr>
                <w:sz w:val="21"/>
                <w:szCs w:val="21"/>
              </w:rPr>
              <w:fldChar w:fldCharType="begin"/>
            </w:r>
            <w:r>
              <w:rPr>
                <w:sz w:val="21"/>
                <w:szCs w:val="21"/>
              </w:rPr>
              <w:instrText xml:space="preserve"> HYPERLINK "https://baike.baidu.com/item/%E6%9C%80%E9%AB%98%E5%AE%B9%E8%AE%B8%E6%B5%93%E5%BA%A6" \t "_blank" </w:instrText>
            </w:r>
            <w:r>
              <w:rPr>
                <w:sz w:val="21"/>
                <w:szCs w:val="21"/>
              </w:rPr>
              <w:fldChar w:fldCharType="separate"/>
            </w:r>
            <w:r>
              <w:rPr>
                <w:sz w:val="21"/>
                <w:szCs w:val="21"/>
              </w:rPr>
              <w:t>最高容许浓度</w:t>
            </w:r>
            <w:r>
              <w:rPr>
                <w:sz w:val="21"/>
                <w:szCs w:val="21"/>
              </w:rPr>
              <w:fldChar w:fldCharType="end"/>
            </w:r>
            <w:r>
              <w:rPr>
                <w:sz w:val="21"/>
                <w:szCs w:val="21"/>
              </w:rPr>
              <w:t>）无规定。</w:t>
            </w:r>
          </w:p>
        </w:tc>
      </w:tr>
    </w:tbl>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r>
        <w:rPr>
          <w:rFonts w:hint="eastAsia" w:ascii="Times New Roman" w:hAnsi="Times New Roman" w:eastAsia="宋体" w:cs="Times New Roman"/>
          <w:highlight w:val="none"/>
          <w:lang w:val="en-US" w:eastAsia="zh-CN"/>
        </w:rPr>
        <w:t xml:space="preserve">   </w:t>
      </w:r>
    </w:p>
    <w:p>
      <w:pPr>
        <w:pStyle w:val="21"/>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outlineLvl w:val="0"/>
        <w:rPr>
          <w:rFonts w:hint="default" w:ascii="Times New Roman" w:hAnsi="Times New Roman" w:eastAsia="宋体" w:cs="Times New Roman"/>
          <w:sz w:val="30"/>
          <w:szCs w:val="30"/>
        </w:rPr>
      </w:pPr>
      <w:bookmarkStart w:id="45" w:name="_Toc11812"/>
      <w:r>
        <w:rPr>
          <w:rFonts w:hint="eastAsia" w:eastAsia="宋体" w:cs="Times New Roman"/>
          <w:sz w:val="30"/>
          <w:szCs w:val="30"/>
          <w:lang w:val="en-US" w:eastAsia="zh-CN"/>
        </w:rPr>
        <w:t>3</w:t>
      </w:r>
      <w:r>
        <w:rPr>
          <w:rFonts w:hint="default" w:ascii="Times New Roman" w:hAnsi="Times New Roman" w:eastAsia="宋体" w:cs="Times New Roman"/>
          <w:sz w:val="30"/>
          <w:szCs w:val="30"/>
        </w:rPr>
        <w:t>.</w:t>
      </w:r>
      <w:r>
        <w:rPr>
          <w:rFonts w:hint="eastAsia" w:ascii="Times New Roman" w:hAnsi="Times New Roman" w:eastAsia="宋体" w:cs="Times New Roman"/>
          <w:sz w:val="30"/>
          <w:szCs w:val="30"/>
          <w:lang w:val="en-US" w:eastAsia="zh-CN"/>
        </w:rPr>
        <w:t>4安全生产管理</w:t>
      </w:r>
      <w:bookmarkEnd w:id="45"/>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t>中国石化销售股份有限公司华中分公司九江油库设有安全生产管理小组，建立以</w:t>
      </w:r>
      <w:r>
        <w:rPr>
          <w:rFonts w:hint="eastAsia" w:ascii="Times New Roman" w:hAnsi="Times New Roman" w:eastAsia="宋体" w:cs="Times New Roman"/>
          <w:highlight w:val="none"/>
          <w:lang w:eastAsia="zh-CN"/>
        </w:rPr>
        <w:t>油库主任</w:t>
      </w:r>
      <w:r>
        <w:rPr>
          <w:rFonts w:hint="default" w:ascii="Times New Roman" w:hAnsi="Times New Roman" w:eastAsia="宋体" w:cs="Times New Roman"/>
          <w:highlight w:val="none"/>
          <w:lang w:eastAsia="zh-CN"/>
        </w:rPr>
        <w:t>为第一责任人及各部门负责人共同组成的安全生产管理网络。</w:t>
      </w:r>
      <w:r>
        <w:rPr>
          <w:rFonts w:hint="eastAsia" w:ascii="Times New Roman" w:hAnsi="Times New Roman" w:eastAsia="宋体" w:cs="Times New Roman"/>
          <w:highlight w:val="none"/>
          <w:lang w:eastAsia="zh-CN"/>
        </w:rPr>
        <w:t>单位</w:t>
      </w:r>
      <w:r>
        <w:rPr>
          <w:rFonts w:hint="default" w:ascii="Times New Roman" w:hAnsi="Times New Roman" w:eastAsia="宋体" w:cs="Times New Roman"/>
          <w:highlight w:val="none"/>
          <w:lang w:eastAsia="zh-CN"/>
        </w:rPr>
        <w:t>制订了完善的安全生产管理制度，落实了主要负责人、安全管理人员以及各岗位的安全责任制，制订了各岗位安全生产操作规程，并认真抓各项规章制度的落实，确保落实岗位安全生产责任制。</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t>安全管理措施：</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r>
        <w:rPr>
          <w:rFonts w:hint="eastAsia" w:ascii="Times New Roman" w:hAnsi="Times New Roman" w:eastAsia="宋体" w:cs="Times New Roman"/>
          <w:highlight w:val="none"/>
          <w:lang w:val="en-US" w:eastAsia="zh-CN"/>
        </w:rPr>
        <w:t>1、</w:t>
      </w:r>
      <w:r>
        <w:rPr>
          <w:rFonts w:hint="default" w:ascii="Times New Roman" w:hAnsi="Times New Roman" w:eastAsia="宋体" w:cs="Times New Roman"/>
          <w:highlight w:val="none"/>
          <w:lang w:eastAsia="zh-CN"/>
        </w:rPr>
        <w:t>安全管理人员、特种作业人员、其他从业人员均经相关政府部门或本公司培训，考核合格取得上岗资格后方可上岗作业；</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t>2</w:t>
      </w:r>
      <w:r>
        <w:rPr>
          <w:rFonts w:hint="eastAsia" w:ascii="Times New Roman" w:hAnsi="Times New Roman" w:eastAsia="宋体" w:cs="Times New Roman"/>
          <w:highlight w:val="none"/>
          <w:lang w:eastAsia="zh-CN"/>
        </w:rPr>
        <w:t>、</w:t>
      </w:r>
      <w:r>
        <w:rPr>
          <w:rFonts w:hint="default" w:ascii="Times New Roman" w:hAnsi="Times New Roman" w:eastAsia="宋体" w:cs="Times New Roman"/>
          <w:highlight w:val="none"/>
          <w:lang w:eastAsia="zh-CN"/>
        </w:rPr>
        <w:t>制订了安全管理制度和安全操作规程，并对相关人员进行考核，消除了人的不安全行为；</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t>3</w:t>
      </w:r>
      <w:r>
        <w:rPr>
          <w:rFonts w:hint="eastAsia" w:ascii="Times New Roman" w:hAnsi="Times New Roman" w:eastAsia="宋体" w:cs="Times New Roman"/>
          <w:highlight w:val="none"/>
          <w:lang w:eastAsia="zh-CN"/>
        </w:rPr>
        <w:t>、</w:t>
      </w:r>
      <w:r>
        <w:rPr>
          <w:rFonts w:hint="default" w:ascii="Times New Roman" w:hAnsi="Times New Roman" w:eastAsia="宋体" w:cs="Times New Roman"/>
          <w:highlight w:val="none"/>
          <w:lang w:eastAsia="zh-CN"/>
        </w:rPr>
        <w:t>建立安全检查、巡查和值班制度，及时发现事故隐患并将事故隐患消除在初期阶段；</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t>4</w:t>
      </w:r>
      <w:r>
        <w:rPr>
          <w:rFonts w:hint="eastAsia" w:ascii="Times New Roman" w:hAnsi="Times New Roman" w:eastAsia="宋体" w:cs="Times New Roman"/>
          <w:highlight w:val="none"/>
          <w:lang w:eastAsia="zh-CN"/>
        </w:rPr>
        <w:t>、</w:t>
      </w:r>
      <w:r>
        <w:rPr>
          <w:rFonts w:hint="default" w:ascii="Times New Roman" w:hAnsi="Times New Roman" w:eastAsia="宋体" w:cs="Times New Roman"/>
          <w:highlight w:val="none"/>
          <w:lang w:eastAsia="zh-CN"/>
        </w:rPr>
        <w:t>制订了相应的事故应急救援预案，对各类事故的防范作出了应急措施；</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t>5</w:t>
      </w:r>
      <w:r>
        <w:rPr>
          <w:rFonts w:hint="eastAsia" w:ascii="Times New Roman" w:hAnsi="Times New Roman" w:eastAsia="宋体" w:cs="Times New Roman"/>
          <w:highlight w:val="none"/>
          <w:lang w:eastAsia="zh-CN"/>
        </w:rPr>
        <w:t>、</w:t>
      </w:r>
      <w:r>
        <w:rPr>
          <w:rFonts w:hint="default" w:ascii="Times New Roman" w:hAnsi="Times New Roman" w:eastAsia="宋体" w:cs="Times New Roman"/>
          <w:highlight w:val="none"/>
          <w:lang w:eastAsia="zh-CN"/>
        </w:rPr>
        <w:t>员工均经安全教育培训，掌握了基本的逃生急救知识；</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t>6</w:t>
      </w:r>
      <w:r>
        <w:rPr>
          <w:rFonts w:hint="eastAsia" w:ascii="Times New Roman" w:hAnsi="Times New Roman" w:eastAsia="宋体" w:cs="Times New Roman"/>
          <w:highlight w:val="none"/>
          <w:lang w:eastAsia="zh-CN"/>
        </w:rPr>
        <w:t>、</w:t>
      </w:r>
      <w:r>
        <w:rPr>
          <w:rFonts w:hint="default" w:ascii="Times New Roman" w:hAnsi="Times New Roman" w:eastAsia="宋体" w:cs="Times New Roman"/>
          <w:highlight w:val="none"/>
          <w:lang w:eastAsia="zh-CN"/>
        </w:rPr>
        <w:t>作业人员持证上岗。</w:t>
      </w:r>
    </w:p>
    <w:p>
      <w:pPr>
        <w:pStyle w:val="21"/>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outlineLvl w:val="0"/>
        <w:rPr>
          <w:rFonts w:hint="default" w:ascii="Times New Roman" w:hAnsi="Times New Roman" w:eastAsia="宋体" w:cs="Times New Roman"/>
          <w:sz w:val="30"/>
          <w:szCs w:val="30"/>
        </w:rPr>
      </w:pPr>
      <w:bookmarkStart w:id="46" w:name="_Toc4489"/>
      <w:r>
        <w:rPr>
          <w:rFonts w:hint="eastAsia" w:eastAsia="宋体" w:cs="Times New Roman"/>
          <w:sz w:val="30"/>
          <w:szCs w:val="30"/>
          <w:lang w:val="en-US" w:eastAsia="zh-CN"/>
        </w:rPr>
        <w:t>3</w:t>
      </w:r>
      <w:r>
        <w:rPr>
          <w:rFonts w:hint="default" w:ascii="Times New Roman" w:hAnsi="Times New Roman" w:eastAsia="宋体" w:cs="Times New Roman"/>
          <w:sz w:val="30"/>
          <w:szCs w:val="30"/>
        </w:rPr>
        <w:t>.</w:t>
      </w:r>
      <w:r>
        <w:rPr>
          <w:rFonts w:hint="eastAsia" w:ascii="Times New Roman" w:hAnsi="Times New Roman" w:eastAsia="宋体" w:cs="Times New Roman"/>
          <w:sz w:val="30"/>
          <w:szCs w:val="30"/>
          <w:lang w:val="en-US" w:eastAsia="zh-CN"/>
        </w:rPr>
        <w:t>5</w:t>
      </w:r>
      <w:r>
        <w:rPr>
          <w:rFonts w:hint="default" w:ascii="Times New Roman" w:hAnsi="Times New Roman" w:cs="Times New Roman"/>
        </w:rPr>
        <w:t>现有环境风险防控与应急措施情况</w:t>
      </w:r>
      <w:bookmarkEnd w:id="4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本公司现有环境风险防控与应急措施情况见表3.</w:t>
      </w:r>
      <w:r>
        <w:rPr>
          <w:rFonts w:hint="eastAsia" w:ascii="Times New Roman" w:hAnsi="Times New Roman" w:cs="Times New Roman"/>
          <w:sz w:val="24"/>
          <w:lang w:val="en-US" w:eastAsia="zh-CN"/>
        </w:rPr>
        <w:t>5</w:t>
      </w:r>
      <w:r>
        <w:rPr>
          <w:rFonts w:hint="default" w:ascii="Times New Roman" w:hAnsi="Times New Roman" w:cs="Times New Roman"/>
          <w:sz w:val="24"/>
        </w:rPr>
        <w:t>-1。</w:t>
      </w:r>
    </w:p>
    <w:p>
      <w:pPr>
        <w:pStyle w:val="27"/>
        <w:keepNext w:val="0"/>
        <w:keepLines w:val="0"/>
        <w:pageBreakBefore w:val="0"/>
        <w:widowControl/>
        <w:kinsoku/>
        <w:wordWrap/>
        <w:overflowPunct/>
        <w:topLinePunct w:val="0"/>
        <w:autoSpaceDE/>
        <w:autoSpaceDN/>
        <w:bidi w:val="0"/>
        <w:adjustRightInd/>
        <w:snapToGrid/>
        <w:spacing w:before="0" w:beforeLines="0" w:line="360" w:lineRule="auto"/>
        <w:ind w:firstLine="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Cs w:val="28"/>
        </w:rPr>
        <w:t>表</w:t>
      </w:r>
      <w:r>
        <w:rPr>
          <w:rFonts w:hint="eastAsia" w:cs="Times New Roman"/>
          <w:color w:val="auto"/>
          <w:lang w:val="en-US" w:eastAsia="zh-CN"/>
        </w:rPr>
        <w:t>3</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val="en-US" w:eastAsia="zh-CN"/>
        </w:rPr>
        <w:t>项目</w:t>
      </w:r>
      <w:r>
        <w:rPr>
          <w:rFonts w:hint="default" w:ascii="Times New Roman" w:hAnsi="Times New Roman" w:eastAsia="宋体" w:cs="Times New Roman"/>
          <w:color w:val="auto"/>
          <w:lang w:val="en-US" w:eastAsia="zh-CN"/>
        </w:rPr>
        <w:t>现有环境风险防控与应急措施情况表</w:t>
      </w:r>
    </w:p>
    <w:tbl>
      <w:tblPr>
        <w:tblStyle w:val="15"/>
        <w:tblW w:w="4882"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45"/>
        <w:gridCol w:w="2737"/>
        <w:gridCol w:w="3561"/>
        <w:gridCol w:w="137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2032" w:type="pct"/>
            <w:gridSpan w:val="2"/>
            <w:tcBorders>
              <w:top w:val="single" w:color="auto" w:sz="12" w:space="0"/>
              <w:left w:val="nil"/>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相关风险防控和应急措施</w:t>
            </w:r>
          </w:p>
        </w:tc>
        <w:tc>
          <w:tcPr>
            <w:tcW w:w="2139" w:type="pct"/>
            <w:tcBorders>
              <w:top w:val="single" w:color="auto" w:sz="12"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落实情况</w:t>
            </w:r>
          </w:p>
        </w:tc>
        <w:tc>
          <w:tcPr>
            <w:tcW w:w="828" w:type="pct"/>
            <w:tcBorders>
              <w:top w:val="single" w:color="auto" w:sz="12" w:space="0"/>
              <w:left w:val="single" w:color="auto" w:sz="6" w:space="0"/>
              <w:bottom w:val="single" w:color="auto" w:sz="6" w:space="0"/>
              <w:right w:val="nil"/>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b/>
                <w:bCs/>
                <w:sz w:val="21"/>
                <w:szCs w:val="21"/>
              </w:rPr>
              <w:t>岗位职责及落实情况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88" w:type="pct"/>
            <w:vMerge w:val="restart"/>
            <w:tcBorders>
              <w:top w:val="single" w:color="auto" w:sz="6" w:space="0"/>
              <w:left w:val="nil"/>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环境风险管理制度</w:t>
            </w:r>
          </w:p>
        </w:tc>
        <w:tc>
          <w:tcPr>
            <w:tcW w:w="1644"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环境风险防控和应急措施制度是否建立</w:t>
            </w:r>
          </w:p>
        </w:tc>
        <w:tc>
          <w:tcPr>
            <w:tcW w:w="2139"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火灾爆炸风险以及事故性泄漏常与装置设备故障相关联，安全管理中要密切注意事故易发部位，做好运行监督检查与维修保养，防患于未然。</w:t>
            </w:r>
          </w:p>
        </w:tc>
        <w:tc>
          <w:tcPr>
            <w:tcW w:w="828" w:type="pct"/>
            <w:tcBorders>
              <w:top w:val="single" w:color="auto" w:sz="6" w:space="0"/>
              <w:left w:val="single" w:color="auto" w:sz="6" w:space="0"/>
              <w:bottom w:val="single" w:color="auto" w:sz="6" w:space="0"/>
              <w:right w:val="nil"/>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定期巡检和维护责任制度已落实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88" w:type="pct"/>
            <w:vMerge w:val="continue"/>
            <w:tcBorders>
              <w:top w:val="single" w:color="auto" w:sz="6" w:space="0"/>
              <w:left w:val="nil"/>
              <w:bottom w:val="single" w:color="auto" w:sz="6" w:space="0"/>
              <w:right w:val="single" w:color="auto" w:sz="6" w:space="0"/>
            </w:tcBorders>
            <w:vAlign w:val="center"/>
          </w:tcPr>
          <w:p>
            <w:pPr>
              <w:keepNext w:val="0"/>
              <w:keepLines w:val="0"/>
              <w:pageBreakBefore w:val="0"/>
              <w:widowControl/>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644"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环境风险防控重点岗位的责任人或责任机构是否明确</w:t>
            </w:r>
          </w:p>
        </w:tc>
        <w:tc>
          <w:tcPr>
            <w:tcW w:w="2139"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组建了突发环境事件应急指挥部，在应急响应时，根据事件实际情况，成立相应的应急救援队伍。</w:t>
            </w:r>
          </w:p>
        </w:tc>
        <w:tc>
          <w:tcPr>
            <w:tcW w:w="828" w:type="pct"/>
            <w:tcBorders>
              <w:top w:val="single" w:color="auto" w:sz="6" w:space="0"/>
              <w:left w:val="single" w:color="auto" w:sz="6" w:space="0"/>
              <w:bottom w:val="single" w:color="auto" w:sz="6" w:space="0"/>
              <w:right w:val="nil"/>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环境风险防控责任人或责任机构已明确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88" w:type="pct"/>
            <w:vMerge w:val="continue"/>
            <w:tcBorders>
              <w:top w:val="single" w:color="auto" w:sz="6" w:space="0"/>
              <w:left w:val="nil"/>
              <w:bottom w:val="single" w:color="auto" w:sz="6" w:space="0"/>
              <w:right w:val="single" w:color="auto" w:sz="6" w:space="0"/>
            </w:tcBorders>
            <w:vAlign w:val="center"/>
          </w:tcPr>
          <w:p>
            <w:pPr>
              <w:keepNext w:val="0"/>
              <w:keepLines w:val="0"/>
              <w:pageBreakBefore w:val="0"/>
              <w:widowControl/>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644"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定期巡检和维护责任制度是否落实</w:t>
            </w:r>
          </w:p>
        </w:tc>
        <w:tc>
          <w:tcPr>
            <w:tcW w:w="2139"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组织专门人员每天每班多次进行周期性巡回检查，有跑、冒、滴、漏或其他异常现象的应及时检修，按照“生产服从安全”原则停车检修，严禁带病或不正常运转</w:t>
            </w:r>
          </w:p>
        </w:tc>
        <w:tc>
          <w:tcPr>
            <w:tcW w:w="828" w:type="pct"/>
            <w:tcBorders>
              <w:top w:val="single" w:color="auto" w:sz="6" w:space="0"/>
              <w:left w:val="single" w:color="auto" w:sz="6" w:space="0"/>
              <w:bottom w:val="single" w:color="auto" w:sz="6" w:space="0"/>
              <w:right w:val="nil"/>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定期巡检和维护责任制度已落实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88" w:type="pct"/>
            <w:vMerge w:val="continue"/>
            <w:tcBorders>
              <w:top w:val="single" w:color="auto" w:sz="6" w:space="0"/>
              <w:left w:val="nil"/>
              <w:bottom w:val="single" w:color="auto" w:sz="6" w:space="0"/>
              <w:right w:val="single" w:color="auto" w:sz="6" w:space="0"/>
            </w:tcBorders>
            <w:vAlign w:val="center"/>
          </w:tcPr>
          <w:p>
            <w:pPr>
              <w:keepNext w:val="0"/>
              <w:keepLines w:val="0"/>
              <w:pageBreakBefore w:val="0"/>
              <w:widowControl/>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644"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环评及批复文件的各项环境风险防控和应急措施要求是否落实</w:t>
            </w:r>
          </w:p>
        </w:tc>
        <w:tc>
          <w:tcPr>
            <w:tcW w:w="2139" w:type="pct"/>
            <w:tcBorders>
              <w:top w:val="single" w:color="auto" w:sz="6" w:space="0"/>
              <w:left w:val="single" w:color="auto" w:sz="6" w:space="0"/>
              <w:bottom w:val="single" w:color="auto" w:sz="6" w:space="0"/>
              <w:right w:val="single" w:color="auto" w:sz="6" w:space="0"/>
            </w:tcBorders>
            <w:vAlign w:val="center"/>
          </w:tcPr>
          <w:p>
            <w:pPr>
              <w:pStyle w:val="11"/>
              <w:keepNext w:val="0"/>
              <w:keepLines w:val="0"/>
              <w:pageBreakBefore w:val="0"/>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公司设置了预防控制措施，切断污染物与外部的通道。</w:t>
            </w:r>
          </w:p>
        </w:tc>
        <w:tc>
          <w:tcPr>
            <w:tcW w:w="828" w:type="pct"/>
            <w:tcBorders>
              <w:top w:val="single" w:color="auto" w:sz="6" w:space="0"/>
              <w:left w:val="single" w:color="auto" w:sz="6" w:space="0"/>
              <w:bottom w:val="single" w:color="auto" w:sz="6" w:space="0"/>
              <w:right w:val="nil"/>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rPr>
              <w:t>已设置事故应急池</w:t>
            </w:r>
            <w:r>
              <w:rPr>
                <w:rFonts w:hint="eastAsia" w:ascii="Times New Roman" w:hAnsi="Times New Roman" w:cs="Times New Roman" w:eastAsiaTheme="minorEastAsia"/>
                <w:color w:val="auto"/>
                <w:sz w:val="21"/>
                <w:szCs w:val="21"/>
                <w:highlight w:val="none"/>
                <w:lang w:eastAsia="zh-CN"/>
              </w:rPr>
              <w:t>以及相关阀门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88" w:type="pct"/>
            <w:vMerge w:val="continue"/>
            <w:tcBorders>
              <w:top w:val="single" w:color="auto" w:sz="6" w:space="0"/>
              <w:left w:val="nil"/>
              <w:bottom w:val="single" w:color="auto" w:sz="6" w:space="0"/>
              <w:right w:val="single" w:color="auto" w:sz="6" w:space="0"/>
            </w:tcBorders>
            <w:vAlign w:val="center"/>
          </w:tcPr>
          <w:p>
            <w:pPr>
              <w:keepNext w:val="0"/>
              <w:keepLines w:val="0"/>
              <w:pageBreakBefore w:val="0"/>
              <w:widowControl/>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644"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是否经常对职工开展环境风险和环境应急管理宣传和培训</w:t>
            </w:r>
          </w:p>
        </w:tc>
        <w:tc>
          <w:tcPr>
            <w:tcW w:w="2139"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eastAsia="zh-CN"/>
              </w:rPr>
              <w:t>九江油库</w:t>
            </w:r>
            <w:r>
              <w:rPr>
                <w:rFonts w:hint="default" w:ascii="Times New Roman" w:hAnsi="Times New Roman" w:cs="Times New Roman" w:eastAsiaTheme="minorEastAsia"/>
                <w:color w:val="auto"/>
                <w:sz w:val="21"/>
                <w:szCs w:val="21"/>
                <w:highlight w:val="none"/>
              </w:rPr>
              <w:t>应急指挥部负责组织、指导应急预案的培训工作，通过观看应急演练讲座、邀请应急专家授课等形式对应急人员进行应急知识和技能的培训</w:t>
            </w:r>
          </w:p>
        </w:tc>
        <w:tc>
          <w:tcPr>
            <w:tcW w:w="828" w:type="pct"/>
            <w:tcBorders>
              <w:top w:val="single" w:color="auto" w:sz="6" w:space="0"/>
              <w:left w:val="single" w:color="auto" w:sz="6" w:space="0"/>
              <w:bottom w:val="single" w:color="auto" w:sz="6" w:space="0"/>
              <w:right w:val="nil"/>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已开展相关培训工作</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88" w:type="pct"/>
            <w:vMerge w:val="continue"/>
            <w:tcBorders>
              <w:top w:val="single" w:color="auto" w:sz="6" w:space="0"/>
              <w:left w:val="nil"/>
              <w:bottom w:val="single" w:color="auto" w:sz="6" w:space="0"/>
              <w:right w:val="single" w:color="auto" w:sz="6" w:space="0"/>
            </w:tcBorders>
            <w:vAlign w:val="center"/>
          </w:tcPr>
          <w:p>
            <w:pPr>
              <w:keepNext w:val="0"/>
              <w:keepLines w:val="0"/>
              <w:pageBreakBefore w:val="0"/>
              <w:widowControl/>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644"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是否建立突发环境事件信息报告制度，并有效执行</w:t>
            </w:r>
          </w:p>
        </w:tc>
        <w:tc>
          <w:tcPr>
            <w:tcW w:w="2139"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发生突发环境事件后及时进行初报、续报、处理结果报告</w:t>
            </w:r>
          </w:p>
        </w:tc>
        <w:tc>
          <w:tcPr>
            <w:tcW w:w="828" w:type="pct"/>
            <w:tcBorders>
              <w:top w:val="single" w:color="auto" w:sz="6" w:space="0"/>
              <w:left w:val="single" w:color="auto" w:sz="6" w:space="0"/>
              <w:bottom w:val="single" w:color="auto" w:sz="6" w:space="0"/>
              <w:right w:val="nil"/>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已建立报告制度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88" w:type="pct"/>
            <w:vMerge w:val="restart"/>
            <w:tcBorders>
              <w:top w:val="single" w:color="auto" w:sz="6" w:space="0"/>
              <w:left w:val="nil"/>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环境风险防控与应急措施</w:t>
            </w:r>
          </w:p>
        </w:tc>
        <w:tc>
          <w:tcPr>
            <w:tcW w:w="1644"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是否在废气排放口、废水、雨水和清洁下水排放口对可能排出的环境风险物质，按照物质特性、危害，设置监视、控制措施，分析每项措施的管理规定、岗位职责落实情况和措施的有效性</w:t>
            </w:r>
          </w:p>
        </w:tc>
        <w:tc>
          <w:tcPr>
            <w:tcW w:w="2139"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1"/>
                <w:szCs w:val="21"/>
                <w:highlight w:val="none"/>
                <w:lang w:eastAsia="zh-CN"/>
              </w:rPr>
            </w:pPr>
            <w:r>
              <w:rPr>
                <w:rFonts w:hint="eastAsia"/>
                <w:sz w:val="21"/>
                <w:szCs w:val="21"/>
              </w:rPr>
              <w:t>初期雨水</w:t>
            </w:r>
            <w:r>
              <w:rPr>
                <w:rFonts w:hint="eastAsia"/>
                <w:sz w:val="21"/>
                <w:szCs w:val="21"/>
                <w:lang w:eastAsia="zh-CN"/>
              </w:rPr>
              <w:t>、</w:t>
            </w:r>
            <w:r>
              <w:rPr>
                <w:rFonts w:hint="eastAsia"/>
                <w:sz w:val="21"/>
                <w:szCs w:val="21"/>
              </w:rPr>
              <w:t>油罐罐底切水废水</w:t>
            </w:r>
            <w:r>
              <w:rPr>
                <w:rFonts w:hint="eastAsia"/>
                <w:sz w:val="21"/>
                <w:szCs w:val="21"/>
                <w:lang w:eastAsia="zh-CN"/>
              </w:rPr>
              <w:t>和</w:t>
            </w:r>
            <w:r>
              <w:rPr>
                <w:rFonts w:hint="eastAsia"/>
                <w:sz w:val="21"/>
                <w:szCs w:val="21"/>
              </w:rPr>
              <w:t>油罐清洗废水</w:t>
            </w:r>
            <w:r>
              <w:rPr>
                <w:rFonts w:hint="eastAsia"/>
                <w:sz w:val="21"/>
                <w:szCs w:val="21"/>
                <w:lang w:eastAsia="zh-CN"/>
              </w:rPr>
              <w:t>经收集后</w:t>
            </w:r>
            <w:r>
              <w:rPr>
                <w:rFonts w:hint="eastAsia"/>
                <w:sz w:val="21"/>
                <w:szCs w:val="21"/>
              </w:rPr>
              <w:t>依托中国石化九江分公司污水处理厂处理</w:t>
            </w:r>
            <w:r>
              <w:rPr>
                <w:rFonts w:hint="eastAsia"/>
                <w:sz w:val="21"/>
                <w:szCs w:val="21"/>
                <w:lang w:eastAsia="zh-CN"/>
              </w:rPr>
              <w:t>，</w:t>
            </w:r>
            <w:r>
              <w:rPr>
                <w:rFonts w:hAnsi="宋体"/>
                <w:sz w:val="21"/>
                <w:szCs w:val="21"/>
              </w:rPr>
              <w:t>生活污水</w:t>
            </w:r>
            <w:r>
              <w:rPr>
                <w:rFonts w:hint="eastAsia" w:hAnsi="宋体"/>
                <w:sz w:val="21"/>
                <w:szCs w:val="21"/>
                <w:lang w:eastAsia="zh-CN"/>
              </w:rPr>
              <w:t>经过</w:t>
            </w:r>
            <w:r>
              <w:rPr>
                <w:rFonts w:hint="eastAsia"/>
                <w:sz w:val="21"/>
                <w:szCs w:val="21"/>
              </w:rPr>
              <w:t>MBR污水处理工艺处理后达《城镇污水处理厂污染物排放标准》（GB18918-2002）表1中一级B标准，最终排入长江</w:t>
            </w:r>
            <w:r>
              <w:rPr>
                <w:rFonts w:hint="eastAsia"/>
                <w:sz w:val="21"/>
                <w:szCs w:val="21"/>
                <w:lang w:eastAsia="zh-CN"/>
              </w:rPr>
              <w:t>；项目废气主要为无组织有机废气。企业按照要求</w:t>
            </w:r>
            <w:r>
              <w:rPr>
                <w:rFonts w:hint="eastAsia" w:cs="Times New Roman" w:eastAsiaTheme="minorEastAsia"/>
                <w:color w:val="auto"/>
                <w:sz w:val="21"/>
                <w:szCs w:val="21"/>
                <w:highlight w:val="none"/>
                <w:lang w:eastAsia="zh-CN"/>
              </w:rPr>
              <w:t>在</w:t>
            </w:r>
            <w:r>
              <w:rPr>
                <w:rFonts w:hint="default" w:ascii="Times New Roman" w:hAnsi="Times New Roman" w:cs="Times New Roman" w:eastAsiaTheme="minorEastAsia"/>
                <w:color w:val="auto"/>
                <w:sz w:val="21"/>
                <w:szCs w:val="21"/>
                <w:highlight w:val="none"/>
              </w:rPr>
              <w:t>污水排放口</w:t>
            </w:r>
            <w:r>
              <w:rPr>
                <w:rFonts w:hint="eastAsia" w:cs="Times New Roman" w:eastAsiaTheme="minorEastAsia"/>
                <w:color w:val="auto"/>
                <w:sz w:val="21"/>
                <w:szCs w:val="21"/>
                <w:highlight w:val="none"/>
                <w:lang w:eastAsia="zh-CN"/>
              </w:rPr>
              <w:t>和厂区内生活区</w:t>
            </w:r>
            <w:r>
              <w:rPr>
                <w:rFonts w:hint="default" w:ascii="Times New Roman" w:hAnsi="Times New Roman" w:cs="Times New Roman" w:eastAsiaTheme="minorEastAsia"/>
                <w:color w:val="auto"/>
                <w:sz w:val="21"/>
                <w:szCs w:val="21"/>
                <w:highlight w:val="none"/>
              </w:rPr>
              <w:t>定期委托检测</w:t>
            </w:r>
          </w:p>
        </w:tc>
        <w:tc>
          <w:tcPr>
            <w:tcW w:w="828" w:type="pct"/>
            <w:tcBorders>
              <w:top w:val="single" w:color="auto" w:sz="6" w:space="0"/>
              <w:left w:val="single" w:color="auto" w:sz="6" w:space="0"/>
              <w:bottom w:val="single" w:color="auto" w:sz="6" w:space="0"/>
              <w:right w:val="nil"/>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符合要求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88" w:type="pct"/>
            <w:vMerge w:val="continue"/>
            <w:tcBorders>
              <w:top w:val="single" w:color="auto" w:sz="6" w:space="0"/>
              <w:left w:val="nil"/>
              <w:bottom w:val="single" w:color="auto" w:sz="6" w:space="0"/>
              <w:right w:val="single" w:color="auto" w:sz="6" w:space="0"/>
            </w:tcBorders>
            <w:vAlign w:val="center"/>
          </w:tcPr>
          <w:p>
            <w:pPr>
              <w:keepNext w:val="0"/>
              <w:keepLines w:val="0"/>
              <w:pageBreakBefore w:val="0"/>
              <w:widowControl/>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644" w:type="pct"/>
            <w:vMerge w:val="restar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是否采取防止事故排水、污染物等扩散、排出厂界的措施，包括截流措施、事故排水收集措施、清净下水系统防控措施、雨水系统防控措施、生产废水处理系统防控措施等，分析每项措施的管理规定、岗位职责落实情况和措施的有效性</w:t>
            </w:r>
          </w:p>
        </w:tc>
        <w:tc>
          <w:tcPr>
            <w:tcW w:w="2139"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sz w:val="21"/>
                <w:szCs w:val="21"/>
              </w:rPr>
              <w:t>初期雨水</w:t>
            </w:r>
            <w:r>
              <w:rPr>
                <w:rFonts w:hint="eastAsia"/>
                <w:sz w:val="21"/>
                <w:szCs w:val="21"/>
                <w:lang w:eastAsia="zh-CN"/>
              </w:rPr>
              <w:t>、</w:t>
            </w:r>
            <w:r>
              <w:rPr>
                <w:rFonts w:hint="eastAsia"/>
                <w:sz w:val="21"/>
                <w:szCs w:val="21"/>
              </w:rPr>
              <w:t>油罐罐底切水废水</w:t>
            </w:r>
            <w:r>
              <w:rPr>
                <w:rFonts w:hint="eastAsia"/>
                <w:sz w:val="21"/>
                <w:szCs w:val="21"/>
                <w:lang w:eastAsia="zh-CN"/>
              </w:rPr>
              <w:t>和</w:t>
            </w:r>
            <w:r>
              <w:rPr>
                <w:rFonts w:hint="eastAsia"/>
                <w:sz w:val="21"/>
                <w:szCs w:val="21"/>
              </w:rPr>
              <w:t>油罐清洗废水</w:t>
            </w:r>
            <w:r>
              <w:rPr>
                <w:rFonts w:hint="eastAsia"/>
                <w:sz w:val="21"/>
                <w:szCs w:val="21"/>
                <w:lang w:eastAsia="zh-CN"/>
              </w:rPr>
              <w:t>经收集后</w:t>
            </w:r>
            <w:r>
              <w:rPr>
                <w:rFonts w:hint="eastAsia"/>
                <w:sz w:val="21"/>
                <w:szCs w:val="21"/>
              </w:rPr>
              <w:t>依托中国石化九江分公司污水处理厂处理</w:t>
            </w:r>
            <w:r>
              <w:rPr>
                <w:rFonts w:hint="eastAsia"/>
                <w:sz w:val="21"/>
                <w:szCs w:val="21"/>
                <w:lang w:eastAsia="zh-CN"/>
              </w:rPr>
              <w:t>，</w:t>
            </w:r>
            <w:r>
              <w:rPr>
                <w:rFonts w:hAnsi="宋体"/>
                <w:sz w:val="21"/>
                <w:szCs w:val="21"/>
              </w:rPr>
              <w:t>生活污水</w:t>
            </w:r>
            <w:r>
              <w:rPr>
                <w:rFonts w:hint="eastAsia" w:hAnsi="宋体"/>
                <w:sz w:val="21"/>
                <w:szCs w:val="21"/>
                <w:lang w:eastAsia="zh-CN"/>
              </w:rPr>
              <w:t>经过</w:t>
            </w:r>
            <w:r>
              <w:rPr>
                <w:rFonts w:hint="eastAsia"/>
                <w:sz w:val="21"/>
                <w:szCs w:val="21"/>
              </w:rPr>
              <w:t>MBR污水处理工艺处理后达《城镇污水处理厂污染物排放标准》（GB18918-2002）表1中一级B标准，最终排入长江</w:t>
            </w:r>
          </w:p>
        </w:tc>
        <w:tc>
          <w:tcPr>
            <w:tcW w:w="828" w:type="pct"/>
            <w:tcBorders>
              <w:top w:val="single" w:color="auto" w:sz="6" w:space="0"/>
              <w:left w:val="single" w:color="auto" w:sz="6" w:space="0"/>
              <w:bottom w:val="single" w:color="auto" w:sz="6" w:space="0"/>
              <w:right w:val="nil"/>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符合要求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88" w:type="pct"/>
            <w:vMerge w:val="continue"/>
            <w:tcBorders>
              <w:top w:val="single" w:color="auto" w:sz="6" w:space="0"/>
              <w:left w:val="nil"/>
              <w:bottom w:val="single" w:color="auto" w:sz="6" w:space="0"/>
              <w:right w:val="single" w:color="auto" w:sz="6" w:space="0"/>
            </w:tcBorders>
            <w:vAlign w:val="center"/>
          </w:tcPr>
          <w:p>
            <w:pPr>
              <w:keepNext w:val="0"/>
              <w:keepLines w:val="0"/>
              <w:pageBreakBefore w:val="0"/>
              <w:widowControl/>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644" w:type="pct"/>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139"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设置了满足要求的事故池，设立控制阀门等。未针对生产废水及生活污水设立事故应急池等截流措施。</w:t>
            </w:r>
          </w:p>
        </w:tc>
        <w:tc>
          <w:tcPr>
            <w:tcW w:w="828" w:type="pct"/>
            <w:tcBorders>
              <w:top w:val="single" w:color="auto" w:sz="6" w:space="0"/>
              <w:left w:val="single" w:color="auto" w:sz="6" w:space="0"/>
              <w:bottom w:val="single" w:color="auto" w:sz="6" w:space="0"/>
              <w:right w:val="nil"/>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符合要求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88" w:type="pct"/>
            <w:vMerge w:val="continue"/>
            <w:tcBorders>
              <w:top w:val="single" w:color="auto" w:sz="6" w:space="0"/>
              <w:left w:val="nil"/>
              <w:bottom w:val="single" w:color="auto" w:sz="6" w:space="0"/>
              <w:right w:val="single" w:color="auto" w:sz="6" w:space="0"/>
            </w:tcBorders>
            <w:vAlign w:val="center"/>
          </w:tcPr>
          <w:p>
            <w:pPr>
              <w:keepNext w:val="0"/>
              <w:keepLines w:val="0"/>
              <w:pageBreakBefore w:val="0"/>
              <w:widowControl/>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644" w:type="pct"/>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139"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有专门的工作人员按照企业生产管理规定严格执行。</w:t>
            </w:r>
          </w:p>
        </w:tc>
        <w:tc>
          <w:tcPr>
            <w:tcW w:w="828" w:type="pct"/>
            <w:tcBorders>
              <w:top w:val="single" w:color="auto" w:sz="6" w:space="0"/>
              <w:left w:val="single" w:color="auto" w:sz="6" w:space="0"/>
              <w:bottom w:val="single" w:color="auto" w:sz="6" w:space="0"/>
              <w:right w:val="nil"/>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符合要求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88" w:type="pct"/>
            <w:vMerge w:val="continue"/>
            <w:tcBorders>
              <w:top w:val="single" w:color="auto" w:sz="6" w:space="0"/>
              <w:left w:val="nil"/>
              <w:bottom w:val="single" w:color="auto" w:sz="6" w:space="0"/>
              <w:right w:val="single" w:color="auto" w:sz="6" w:space="0"/>
            </w:tcBorders>
            <w:vAlign w:val="center"/>
          </w:tcPr>
          <w:p>
            <w:pPr>
              <w:keepNext w:val="0"/>
              <w:keepLines w:val="0"/>
              <w:pageBreakBefore w:val="0"/>
              <w:widowControl/>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644"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涉及毒性气体的，是否设置毒性气体泄漏紧急处置装置，是否已布置生产区域或厂界毒性气体泄漏监控预警系统，是否有提醒周边公众紧急疏散的措施和手段等，分析每项措施的管理规定、岗位责任落实情况和措施的有效性</w:t>
            </w:r>
          </w:p>
        </w:tc>
        <w:tc>
          <w:tcPr>
            <w:tcW w:w="2139"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设置了紧急处置装置及监控预警系统，有相应的紧急疏散措施</w:t>
            </w:r>
          </w:p>
        </w:tc>
        <w:tc>
          <w:tcPr>
            <w:tcW w:w="828" w:type="pct"/>
            <w:tcBorders>
              <w:top w:val="single" w:color="auto" w:sz="6" w:space="0"/>
              <w:left w:val="single" w:color="auto" w:sz="6" w:space="0"/>
              <w:bottom w:val="single" w:color="auto" w:sz="6" w:space="0"/>
              <w:right w:val="nil"/>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符合要求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88" w:type="pct"/>
            <w:vMerge w:val="restart"/>
            <w:tcBorders>
              <w:top w:val="single" w:color="auto" w:sz="6" w:space="0"/>
              <w:left w:val="nil"/>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环境应急资源</w:t>
            </w:r>
          </w:p>
        </w:tc>
        <w:tc>
          <w:tcPr>
            <w:tcW w:w="1644"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是否配备必要的应急物资和应急装备（包括应急监测）</w:t>
            </w:r>
          </w:p>
        </w:tc>
        <w:tc>
          <w:tcPr>
            <w:tcW w:w="2139"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已配备应急物资和应急装备，由于企业不具备全部监测能力，将有监测能力的单位进行监测</w:t>
            </w:r>
          </w:p>
        </w:tc>
        <w:tc>
          <w:tcPr>
            <w:tcW w:w="828" w:type="pct"/>
            <w:tcBorders>
              <w:top w:val="single" w:color="auto" w:sz="6" w:space="0"/>
              <w:left w:val="single" w:color="auto" w:sz="6" w:space="0"/>
              <w:bottom w:val="single" w:color="auto" w:sz="6" w:space="0"/>
              <w:right w:val="nil"/>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符合要求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88" w:type="pct"/>
            <w:vMerge w:val="continue"/>
            <w:tcBorders>
              <w:top w:val="single" w:color="auto" w:sz="6" w:space="0"/>
              <w:left w:val="nil"/>
              <w:bottom w:val="single" w:color="auto" w:sz="6" w:space="0"/>
              <w:right w:val="single" w:color="auto" w:sz="6" w:space="0"/>
            </w:tcBorders>
            <w:vAlign w:val="center"/>
          </w:tcPr>
          <w:p>
            <w:pPr>
              <w:keepNext w:val="0"/>
              <w:keepLines w:val="0"/>
              <w:pageBreakBefore w:val="0"/>
              <w:widowControl/>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644"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是否已设置专职或兼职人员组成的应急救援队伍</w:t>
            </w:r>
          </w:p>
        </w:tc>
        <w:tc>
          <w:tcPr>
            <w:tcW w:w="2139"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应急救援队伍由应急指挥部和各应急救援队组成，一旦发生事故由应急指挥部统一调动</w:t>
            </w:r>
          </w:p>
        </w:tc>
        <w:tc>
          <w:tcPr>
            <w:tcW w:w="828" w:type="pct"/>
            <w:tcBorders>
              <w:top w:val="single" w:color="auto" w:sz="6" w:space="0"/>
              <w:left w:val="single" w:color="auto" w:sz="6" w:space="0"/>
              <w:bottom w:val="single" w:color="auto" w:sz="6" w:space="0"/>
              <w:right w:val="nil"/>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已设置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88" w:type="pct"/>
            <w:vMerge w:val="continue"/>
            <w:tcBorders>
              <w:top w:val="single" w:color="auto" w:sz="6" w:space="0"/>
              <w:left w:val="nil"/>
              <w:bottom w:val="single" w:color="auto" w:sz="6" w:space="0"/>
              <w:right w:val="single" w:color="auto" w:sz="6" w:space="0"/>
            </w:tcBorders>
            <w:vAlign w:val="center"/>
          </w:tcPr>
          <w:p>
            <w:pPr>
              <w:keepNext w:val="0"/>
              <w:keepLines w:val="0"/>
              <w:pageBreakBefore w:val="0"/>
              <w:widowControl/>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644"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是否与其他组织或单位签订应急救援协议或互救协议（包括应急物资、应急装备和救援队伍等情况）</w:t>
            </w:r>
          </w:p>
        </w:tc>
        <w:tc>
          <w:tcPr>
            <w:tcW w:w="2139"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eastAsia="zh-CN"/>
              </w:rPr>
              <w:t>已与</w:t>
            </w:r>
            <w:r>
              <w:rPr>
                <w:rFonts w:hint="default" w:ascii="Times New Roman" w:hAnsi="Times New Roman" w:cs="Times New Roman" w:eastAsiaTheme="minorEastAsia"/>
                <w:color w:val="auto"/>
                <w:sz w:val="21"/>
                <w:szCs w:val="21"/>
                <w:highlight w:val="none"/>
              </w:rPr>
              <w:t>与</w:t>
            </w:r>
            <w:r>
              <w:rPr>
                <w:rFonts w:hint="default" w:ascii="Times New Roman" w:hAnsi="Times New Roman" w:cs="Times New Roman" w:eastAsiaTheme="minorEastAsia"/>
                <w:color w:val="auto"/>
                <w:sz w:val="21"/>
                <w:szCs w:val="21"/>
                <w:highlight w:val="none"/>
                <w:lang w:val="en-US" w:eastAsia="zh-CN"/>
              </w:rPr>
              <w:t>2家</w:t>
            </w:r>
            <w:r>
              <w:rPr>
                <w:rFonts w:hint="default" w:ascii="Times New Roman" w:hAnsi="Times New Roman" w:cs="Times New Roman" w:eastAsiaTheme="minorEastAsia"/>
                <w:color w:val="auto"/>
                <w:sz w:val="21"/>
                <w:szCs w:val="21"/>
                <w:highlight w:val="none"/>
              </w:rPr>
              <w:t>企业签订应急救援互助协议</w:t>
            </w:r>
          </w:p>
        </w:tc>
        <w:tc>
          <w:tcPr>
            <w:tcW w:w="828" w:type="pct"/>
            <w:tcBorders>
              <w:top w:val="single" w:color="auto" w:sz="6" w:space="0"/>
              <w:left w:val="single" w:color="auto" w:sz="6" w:space="0"/>
              <w:bottom w:val="single" w:color="auto" w:sz="6" w:space="0"/>
              <w:right w:val="nil"/>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eastAsia="zh-CN"/>
              </w:rPr>
              <w:t>已签订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88" w:type="pct"/>
            <w:tcBorders>
              <w:top w:val="single" w:color="auto" w:sz="6" w:space="0"/>
              <w:left w:val="nil"/>
              <w:bottom w:val="single" w:color="auto" w:sz="12"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历史经验教训总结</w:t>
            </w:r>
          </w:p>
        </w:tc>
        <w:tc>
          <w:tcPr>
            <w:tcW w:w="1644" w:type="pct"/>
            <w:tcBorders>
              <w:top w:val="single" w:color="auto" w:sz="6" w:space="0"/>
              <w:left w:val="single" w:color="auto" w:sz="6" w:space="0"/>
              <w:bottom w:val="single" w:color="auto" w:sz="12"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分析、总结历史上同类型企业或涉及相同环境风险物质的企业发生突发环境事件的经验教训，对照检查本单位是否有防止类似事件发生的措施</w:t>
            </w:r>
          </w:p>
        </w:tc>
        <w:tc>
          <w:tcPr>
            <w:tcW w:w="2139" w:type="pct"/>
            <w:tcBorders>
              <w:top w:val="single" w:color="auto" w:sz="6" w:space="0"/>
              <w:left w:val="single" w:color="auto" w:sz="6" w:space="0"/>
              <w:bottom w:val="single" w:color="auto" w:sz="12"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根据历史经验教训企业制定了详细的公司管理制度，针对各单元制定严格的操作规程；定期加强职工的安全教育和安全技术训练；加强防火和防护组织及设施，严格事故管理</w:t>
            </w:r>
          </w:p>
        </w:tc>
        <w:tc>
          <w:tcPr>
            <w:tcW w:w="828" w:type="pct"/>
            <w:tcBorders>
              <w:top w:val="single" w:color="auto" w:sz="6" w:space="0"/>
              <w:left w:val="single" w:color="auto" w:sz="6" w:space="0"/>
              <w:bottom w:val="single" w:color="auto" w:sz="12" w:space="0"/>
              <w:right w:val="nil"/>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已设置</w:t>
            </w:r>
          </w:p>
        </w:tc>
      </w:tr>
    </w:tbl>
    <w:p>
      <w:pPr>
        <w:rPr>
          <w:rFonts w:hint="default" w:ascii="Times New Roman" w:hAnsi="Times New Roman" w:eastAsia="宋体" w:cs="Times New Roman"/>
          <w:color w:val="auto"/>
          <w:lang w:val="en-US" w:eastAsia="zh-CN"/>
        </w:rPr>
      </w:pPr>
    </w:p>
    <w:p>
      <w:pPr>
        <w:pStyle w:val="21"/>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outlineLvl w:val="0"/>
        <w:rPr>
          <w:rFonts w:hint="default" w:ascii="Times New Roman" w:hAnsi="Times New Roman" w:eastAsia="宋体" w:cs="Times New Roman"/>
          <w:sz w:val="30"/>
          <w:szCs w:val="30"/>
        </w:rPr>
      </w:pPr>
      <w:bookmarkStart w:id="47" w:name="_Toc767"/>
      <w:r>
        <w:rPr>
          <w:rFonts w:hint="eastAsia" w:eastAsia="宋体" w:cs="Times New Roman"/>
          <w:sz w:val="30"/>
          <w:szCs w:val="30"/>
          <w:lang w:val="en-US" w:eastAsia="zh-CN"/>
        </w:rPr>
        <w:t>3</w:t>
      </w:r>
      <w:r>
        <w:rPr>
          <w:rFonts w:hint="default" w:ascii="Times New Roman" w:hAnsi="Times New Roman" w:eastAsia="宋体" w:cs="Times New Roman"/>
          <w:sz w:val="30"/>
          <w:szCs w:val="30"/>
        </w:rPr>
        <w:t>.</w:t>
      </w:r>
      <w:r>
        <w:rPr>
          <w:rFonts w:hint="eastAsia" w:ascii="Times New Roman" w:hAnsi="Times New Roman" w:eastAsia="宋体" w:cs="Times New Roman"/>
          <w:sz w:val="30"/>
          <w:szCs w:val="30"/>
          <w:lang w:val="en-US" w:eastAsia="zh-CN"/>
        </w:rPr>
        <w:t>6现有应急物资与装备</w:t>
      </w:r>
      <w:bookmarkEnd w:id="47"/>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r>
        <w:rPr>
          <w:rFonts w:hint="eastAsia" w:ascii="Times New Roman" w:hAnsi="Times New Roman" w:eastAsia="宋体" w:cs="Times New Roman"/>
          <w:highlight w:val="none"/>
          <w:lang w:eastAsia="zh-CN"/>
        </w:rPr>
        <w:t>项目</w:t>
      </w:r>
      <w:r>
        <w:rPr>
          <w:rFonts w:hint="default" w:ascii="Times New Roman" w:hAnsi="Times New Roman" w:eastAsia="宋体" w:cs="Times New Roman"/>
          <w:highlight w:val="none"/>
          <w:lang w:eastAsia="zh-CN"/>
        </w:rPr>
        <w:t>现有环境风险防控与应急措施情况见</w:t>
      </w:r>
      <w:r>
        <w:rPr>
          <w:rFonts w:hint="eastAsia" w:ascii="Times New Roman" w:hAnsi="Times New Roman" w:eastAsia="宋体" w:cs="Times New Roman"/>
          <w:highlight w:val="none"/>
          <w:lang w:eastAsia="zh-CN"/>
        </w:rPr>
        <w:t>下</w:t>
      </w:r>
      <w:r>
        <w:rPr>
          <w:rFonts w:hint="default" w:ascii="Times New Roman" w:hAnsi="Times New Roman" w:eastAsia="宋体" w:cs="Times New Roman"/>
          <w:highlight w:val="none"/>
          <w:lang w:eastAsia="zh-CN"/>
        </w:rPr>
        <w:t>表。</w:t>
      </w:r>
    </w:p>
    <w:p>
      <w:pPr>
        <w:pStyle w:val="27"/>
        <w:spacing w:before="156"/>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表3</w:t>
      </w:r>
      <w:r>
        <w:rPr>
          <w:rFonts w:hint="eastAsia" w:ascii="Times New Roman" w:hAnsi="Times New Roman" w:eastAsia="宋体" w:cs="Times New Roman"/>
          <w:color w:val="auto"/>
          <w:sz w:val="24"/>
          <w:szCs w:val="24"/>
          <w:lang w:val="en-US" w:eastAsia="zh-CN"/>
        </w:rPr>
        <w:t>.6-1</w:t>
      </w:r>
      <w:r>
        <w:rPr>
          <w:rFonts w:hint="default" w:ascii="Times New Roman" w:hAnsi="Times New Roman" w:eastAsia="宋体" w:cs="Times New Roman"/>
          <w:color w:val="auto"/>
          <w:sz w:val="24"/>
          <w:szCs w:val="24"/>
        </w:rPr>
        <w:t xml:space="preserve"> </w:t>
      </w:r>
      <w:r>
        <w:rPr>
          <w:rFonts w:hint="eastAsia" w:cs="Times New Roman"/>
          <w:color w:val="auto"/>
          <w:sz w:val="24"/>
          <w:szCs w:val="24"/>
          <w:lang w:val="en-US" w:eastAsia="zh-CN"/>
        </w:rPr>
        <w:t xml:space="preserve"> 项目码头应急防控设备一览表</w:t>
      </w:r>
    </w:p>
    <w:tbl>
      <w:tblPr>
        <w:tblStyle w:val="15"/>
        <w:tblW w:w="81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8"/>
        <w:gridCol w:w="3220"/>
        <w:gridCol w:w="988"/>
        <w:gridCol w:w="988"/>
        <w:gridCol w:w="20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noWrap w:val="0"/>
            <w:vAlign w:val="center"/>
          </w:tcPr>
          <w:p>
            <w:pPr>
              <w:pStyle w:val="4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3220" w:type="dxa"/>
            <w:tcBorders>
              <w:tl2br w:val="nil"/>
              <w:tr2bl w:val="nil"/>
            </w:tcBorders>
            <w:noWrap w:val="0"/>
            <w:vAlign w:val="center"/>
          </w:tcPr>
          <w:p>
            <w:pPr>
              <w:pStyle w:val="4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品名</w:t>
            </w:r>
          </w:p>
        </w:tc>
        <w:tc>
          <w:tcPr>
            <w:tcW w:w="988" w:type="dxa"/>
            <w:tcBorders>
              <w:tl2br w:val="nil"/>
              <w:tr2bl w:val="nil"/>
            </w:tcBorders>
            <w:noWrap w:val="0"/>
            <w:vAlign w:val="center"/>
          </w:tcPr>
          <w:p>
            <w:pPr>
              <w:pStyle w:val="4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单位</w:t>
            </w:r>
          </w:p>
        </w:tc>
        <w:tc>
          <w:tcPr>
            <w:tcW w:w="988" w:type="dxa"/>
            <w:tcBorders>
              <w:tl2br w:val="nil"/>
              <w:tr2bl w:val="nil"/>
            </w:tcBorders>
            <w:noWrap w:val="0"/>
            <w:vAlign w:val="center"/>
          </w:tcPr>
          <w:p>
            <w:pPr>
              <w:pStyle w:val="4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数量</w:t>
            </w:r>
          </w:p>
        </w:tc>
        <w:tc>
          <w:tcPr>
            <w:tcW w:w="2014" w:type="dxa"/>
            <w:tcBorders>
              <w:tl2br w:val="nil"/>
              <w:tr2bl w:val="nil"/>
            </w:tcBorders>
            <w:noWrap w:val="0"/>
            <w:vAlign w:val="center"/>
          </w:tcPr>
          <w:p>
            <w:pPr>
              <w:pStyle w:val="4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存放（配置）地点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220" w:type="dxa"/>
            <w:tcBorders>
              <w:tl2br w:val="nil"/>
              <w:tr2bl w:val="nil"/>
            </w:tcBorders>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正压式呼吸器</w:t>
            </w:r>
          </w:p>
        </w:tc>
        <w:tc>
          <w:tcPr>
            <w:tcW w:w="988" w:type="dxa"/>
            <w:tcBorders>
              <w:tl2br w:val="nil"/>
              <w:tr2bl w:val="nil"/>
            </w:tcBorders>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套</w:t>
            </w:r>
          </w:p>
        </w:tc>
        <w:tc>
          <w:tcPr>
            <w:tcW w:w="988" w:type="dxa"/>
            <w:tcBorders>
              <w:tl2br w:val="nil"/>
              <w:tr2bl w:val="nil"/>
            </w:tcBorders>
            <w:noWrap w:val="0"/>
            <w:vAlign w:val="center"/>
          </w:tcPr>
          <w:p>
            <w:pPr>
              <w:pStyle w:val="40"/>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1</w:t>
            </w:r>
          </w:p>
        </w:tc>
        <w:tc>
          <w:tcPr>
            <w:tcW w:w="2014"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3220" w:type="dxa"/>
            <w:tcBorders>
              <w:tl2br w:val="nil"/>
              <w:tr2bl w:val="nil"/>
            </w:tcBorders>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消防隔热服</w:t>
            </w:r>
          </w:p>
        </w:tc>
        <w:tc>
          <w:tcPr>
            <w:tcW w:w="988" w:type="dxa"/>
            <w:tcBorders>
              <w:tl2br w:val="nil"/>
              <w:tr2bl w:val="nil"/>
            </w:tcBorders>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套</w:t>
            </w:r>
          </w:p>
        </w:tc>
        <w:tc>
          <w:tcPr>
            <w:tcW w:w="988" w:type="dxa"/>
            <w:tcBorders>
              <w:tl2br w:val="nil"/>
              <w:tr2bl w:val="nil"/>
            </w:tcBorders>
            <w:noWrap w:val="0"/>
            <w:vAlign w:val="center"/>
          </w:tcPr>
          <w:p>
            <w:pPr>
              <w:pStyle w:val="40"/>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1</w:t>
            </w:r>
          </w:p>
        </w:tc>
        <w:tc>
          <w:tcPr>
            <w:tcW w:w="2014"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3220" w:type="dxa"/>
            <w:tcBorders>
              <w:tl2br w:val="nil"/>
              <w:tr2bl w:val="nil"/>
            </w:tcBorders>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防毒面具</w:t>
            </w:r>
          </w:p>
        </w:tc>
        <w:tc>
          <w:tcPr>
            <w:tcW w:w="988" w:type="dxa"/>
            <w:tcBorders>
              <w:tl2br w:val="nil"/>
              <w:tr2bl w:val="nil"/>
            </w:tcBorders>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个</w:t>
            </w:r>
          </w:p>
        </w:tc>
        <w:tc>
          <w:tcPr>
            <w:tcW w:w="988" w:type="dxa"/>
            <w:tcBorders>
              <w:tl2br w:val="nil"/>
              <w:tr2bl w:val="nil"/>
            </w:tcBorders>
            <w:noWrap w:val="0"/>
            <w:vAlign w:val="center"/>
          </w:tcPr>
          <w:p>
            <w:pPr>
              <w:pStyle w:val="40"/>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2</w:t>
            </w:r>
          </w:p>
        </w:tc>
        <w:tc>
          <w:tcPr>
            <w:tcW w:w="2014"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3220" w:type="dxa"/>
            <w:tcBorders>
              <w:tl2br w:val="nil"/>
              <w:tr2bl w:val="nil"/>
            </w:tcBorders>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安全带</w:t>
            </w:r>
          </w:p>
        </w:tc>
        <w:tc>
          <w:tcPr>
            <w:tcW w:w="988" w:type="dxa"/>
            <w:tcBorders>
              <w:tl2br w:val="nil"/>
              <w:tr2bl w:val="nil"/>
            </w:tcBorders>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个</w:t>
            </w:r>
          </w:p>
        </w:tc>
        <w:tc>
          <w:tcPr>
            <w:tcW w:w="988" w:type="dxa"/>
            <w:tcBorders>
              <w:tl2br w:val="nil"/>
              <w:tr2bl w:val="nil"/>
            </w:tcBorders>
            <w:noWrap w:val="0"/>
            <w:vAlign w:val="center"/>
          </w:tcPr>
          <w:p>
            <w:pPr>
              <w:pStyle w:val="40"/>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2</w:t>
            </w:r>
          </w:p>
        </w:tc>
        <w:tc>
          <w:tcPr>
            <w:tcW w:w="2014"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3220"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灭火毯（大）</w:t>
            </w:r>
          </w:p>
        </w:tc>
        <w:tc>
          <w:tcPr>
            <w:tcW w:w="988" w:type="dxa"/>
            <w:tcBorders>
              <w:tl2br w:val="nil"/>
              <w:tr2bl w:val="nil"/>
            </w:tcBorders>
            <w:shd w:val="clear" w:color="auto" w:fill="FFFFFF"/>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床</w:t>
            </w:r>
          </w:p>
        </w:tc>
        <w:tc>
          <w:tcPr>
            <w:tcW w:w="988" w:type="dxa"/>
            <w:tcBorders>
              <w:tl2br w:val="nil"/>
              <w:tr2bl w:val="nil"/>
            </w:tcBorders>
            <w:shd w:val="clear" w:color="auto" w:fill="FFFFFF"/>
            <w:noWrap w:val="0"/>
            <w:vAlign w:val="center"/>
          </w:tcPr>
          <w:p>
            <w:pPr>
              <w:pStyle w:val="40"/>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5</w:t>
            </w:r>
          </w:p>
        </w:tc>
        <w:tc>
          <w:tcPr>
            <w:tcW w:w="2014"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3220"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灭火毯（小）</w:t>
            </w:r>
          </w:p>
        </w:tc>
        <w:tc>
          <w:tcPr>
            <w:tcW w:w="988" w:type="dxa"/>
            <w:tcBorders>
              <w:tl2br w:val="nil"/>
              <w:tr2bl w:val="nil"/>
            </w:tcBorders>
            <w:shd w:val="clear" w:color="auto" w:fill="FFFFFF"/>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床</w:t>
            </w:r>
          </w:p>
        </w:tc>
        <w:tc>
          <w:tcPr>
            <w:tcW w:w="988" w:type="dxa"/>
            <w:tcBorders>
              <w:tl2br w:val="nil"/>
              <w:tr2bl w:val="nil"/>
            </w:tcBorders>
            <w:shd w:val="clear" w:color="auto" w:fill="FFFFFF"/>
            <w:noWrap w:val="0"/>
            <w:vAlign w:val="center"/>
          </w:tcPr>
          <w:p>
            <w:pPr>
              <w:pStyle w:val="40"/>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1</w:t>
            </w:r>
          </w:p>
        </w:tc>
        <w:tc>
          <w:tcPr>
            <w:tcW w:w="2014"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油桶</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1</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消防板手</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只</w:t>
            </w:r>
          </w:p>
        </w:tc>
        <w:tc>
          <w:tcPr>
            <w:tcW w:w="988" w:type="dxa"/>
            <w:tcBorders>
              <w:tl2br w:val="nil"/>
              <w:tr2bl w:val="nil"/>
            </w:tcBorders>
            <w:shd w:val="clear" w:color="auto" w:fill="FFFFFF"/>
            <w:noWrap w:val="0"/>
            <w:vAlign w:val="center"/>
          </w:tcPr>
          <w:p>
            <w:pPr>
              <w:pStyle w:val="40"/>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1</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急救药箱（小）</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4公斤手提式干粉灭火器</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只</w:t>
            </w:r>
          </w:p>
        </w:tc>
        <w:tc>
          <w:tcPr>
            <w:tcW w:w="988" w:type="dxa"/>
            <w:tcBorders>
              <w:tl2br w:val="nil"/>
              <w:tr2bl w:val="nil"/>
            </w:tcBorders>
            <w:shd w:val="clear" w:color="auto" w:fill="FFFFFF"/>
            <w:noWrap w:val="0"/>
            <w:vAlign w:val="center"/>
          </w:tcPr>
          <w:p>
            <w:pPr>
              <w:pStyle w:val="40"/>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2</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8公斤手提式干粉灭火器</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只</w:t>
            </w:r>
          </w:p>
        </w:tc>
        <w:tc>
          <w:tcPr>
            <w:tcW w:w="988" w:type="dxa"/>
            <w:tcBorders>
              <w:tl2br w:val="nil"/>
              <w:tr2bl w:val="nil"/>
            </w:tcBorders>
            <w:shd w:val="clear" w:color="auto" w:fill="FFFFFF"/>
            <w:noWrap w:val="0"/>
            <w:vAlign w:val="center"/>
          </w:tcPr>
          <w:p>
            <w:pPr>
              <w:pStyle w:val="40"/>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3</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35公斤推车式干粉灭火器</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1</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训练水带</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盘</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r>
              <w:rPr>
                <w:rFonts w:hint="eastAsia" w:ascii="Times New Roman" w:hAnsi="Times New Roman" w:cs="Times New Roman"/>
                <w:color w:val="auto"/>
                <w:sz w:val="21"/>
                <w:szCs w:val="21"/>
                <w:lang w:val="en-US" w:eastAsia="zh-CN"/>
              </w:rPr>
              <w:t>0</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发电机组带照明（小）</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台</w:t>
            </w:r>
          </w:p>
        </w:tc>
        <w:tc>
          <w:tcPr>
            <w:tcW w:w="988" w:type="dxa"/>
            <w:tcBorders>
              <w:tl2br w:val="nil"/>
              <w:tr2bl w:val="nil"/>
            </w:tcBorders>
            <w:shd w:val="clear" w:color="auto" w:fill="FFFFFF"/>
            <w:noWrap w:val="0"/>
            <w:vAlign w:val="bottom"/>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吸油毡</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包</w:t>
            </w:r>
          </w:p>
        </w:tc>
        <w:tc>
          <w:tcPr>
            <w:tcW w:w="988" w:type="dxa"/>
            <w:tcBorders>
              <w:tl2br w:val="nil"/>
              <w:tr2bl w:val="nil"/>
            </w:tcBorders>
            <w:shd w:val="clear" w:color="auto" w:fill="FFFFFF"/>
            <w:noWrap w:val="0"/>
            <w:vAlign w:val="center"/>
          </w:tcPr>
          <w:p>
            <w:pPr>
              <w:pStyle w:val="40"/>
              <w:rPr>
                <w:rFonts w:hint="eastAsia"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r>
              <w:rPr>
                <w:rFonts w:hint="eastAsia" w:ascii="Times New Roman" w:hAnsi="Times New Roman" w:cs="Times New Roman"/>
                <w:color w:val="auto"/>
                <w:sz w:val="21"/>
                <w:szCs w:val="21"/>
                <w:lang w:val="en-US" w:eastAsia="zh-CN"/>
              </w:rPr>
              <w:t>0</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吸油拖栏（围油拖栏）</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包</w:t>
            </w:r>
          </w:p>
        </w:tc>
        <w:tc>
          <w:tcPr>
            <w:tcW w:w="988" w:type="dxa"/>
            <w:tcBorders>
              <w:tl2br w:val="nil"/>
              <w:tr2bl w:val="nil"/>
            </w:tcBorders>
            <w:shd w:val="clear" w:color="auto" w:fill="FFFFFF"/>
            <w:noWrap w:val="0"/>
            <w:vAlign w:val="center"/>
          </w:tcPr>
          <w:p>
            <w:pPr>
              <w:pStyle w:val="40"/>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8</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充电应急灯（小）</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台</w:t>
            </w:r>
          </w:p>
        </w:tc>
        <w:tc>
          <w:tcPr>
            <w:tcW w:w="988" w:type="dxa"/>
            <w:tcBorders>
              <w:tl2br w:val="nil"/>
              <w:tr2bl w:val="nil"/>
            </w:tcBorders>
            <w:shd w:val="clear" w:color="auto" w:fill="FFFFFF"/>
            <w:noWrap w:val="0"/>
            <w:vAlign w:val="bottom"/>
          </w:tcPr>
          <w:p>
            <w:pPr>
              <w:pStyle w:val="40"/>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1</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救生衣</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件</w:t>
            </w:r>
          </w:p>
        </w:tc>
        <w:tc>
          <w:tcPr>
            <w:tcW w:w="988" w:type="dxa"/>
            <w:tcBorders>
              <w:tl2br w:val="nil"/>
              <w:tr2bl w:val="nil"/>
            </w:tcBorders>
            <w:shd w:val="clear" w:color="auto" w:fill="FFFFFF"/>
            <w:noWrap w:val="0"/>
            <w:vAlign w:val="center"/>
          </w:tcPr>
          <w:p>
            <w:pPr>
              <w:pStyle w:val="40"/>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0</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安全帽</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顶</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7</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防冻手套</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双</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4</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耐油手套</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双</w:t>
            </w:r>
          </w:p>
        </w:tc>
        <w:tc>
          <w:tcPr>
            <w:tcW w:w="988" w:type="dxa"/>
            <w:tcBorders>
              <w:tl2br w:val="nil"/>
              <w:tr2bl w:val="nil"/>
            </w:tcBorders>
            <w:shd w:val="clear" w:color="auto" w:fill="FFFFFF"/>
            <w:noWrap w:val="0"/>
            <w:vAlign w:val="center"/>
          </w:tcPr>
          <w:p>
            <w:pPr>
              <w:pStyle w:val="40"/>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2</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消防锹（铁的）</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把</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直流水枪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3</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泡沫枪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1</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8公斤干粉灭火器喷管</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5</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吸油绳</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米</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200</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27</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储油囊</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便携式可燃气体检测仪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1</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雨衣</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件</w:t>
            </w:r>
          </w:p>
        </w:tc>
        <w:tc>
          <w:tcPr>
            <w:tcW w:w="988" w:type="dxa"/>
            <w:tcBorders>
              <w:tl2br w:val="nil"/>
              <w:tr2bl w:val="nil"/>
            </w:tcBorders>
            <w:shd w:val="clear" w:color="auto" w:fill="FFFFFF"/>
            <w:noWrap w:val="0"/>
            <w:vAlign w:val="center"/>
          </w:tcPr>
          <w:p>
            <w:pPr>
              <w:pStyle w:val="40"/>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2</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木质堵漏楔</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套</w:t>
            </w:r>
          </w:p>
        </w:tc>
        <w:tc>
          <w:tcPr>
            <w:tcW w:w="988" w:type="dxa"/>
            <w:tcBorders>
              <w:tl2br w:val="nil"/>
              <w:tr2bl w:val="nil"/>
            </w:tcBorders>
            <w:shd w:val="clear" w:color="auto" w:fill="FFFFFF"/>
            <w:noWrap w:val="0"/>
            <w:vAlign w:val="center"/>
          </w:tcPr>
          <w:p>
            <w:pPr>
              <w:pStyle w:val="40"/>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1</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安全救生绳（逃生绳）</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套</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32</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救生圈</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eastAsia"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r>
              <w:rPr>
                <w:rFonts w:hint="eastAsia" w:ascii="Times New Roman" w:hAnsi="Times New Roman" w:cs="Times New Roman"/>
                <w:color w:val="auto"/>
                <w:sz w:val="21"/>
                <w:szCs w:val="21"/>
                <w:lang w:val="en-US" w:eastAsia="zh-CN"/>
              </w:rPr>
              <w:t>0</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33</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警示牌</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1</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34</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警戒杆</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3</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防火罩</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8</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36</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毛毡</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平方</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0</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37</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救生衣(充气式）</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件</w:t>
            </w:r>
          </w:p>
        </w:tc>
        <w:tc>
          <w:tcPr>
            <w:tcW w:w="988" w:type="dxa"/>
            <w:tcBorders>
              <w:tl2br w:val="nil"/>
              <w:tr2bl w:val="nil"/>
            </w:tcBorders>
            <w:shd w:val="clear" w:color="auto" w:fill="FFFFFF"/>
            <w:noWrap w:val="0"/>
            <w:vAlign w:val="center"/>
          </w:tcPr>
          <w:p>
            <w:pPr>
              <w:pStyle w:val="40"/>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3</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38</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消油剂</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桶</w:t>
            </w:r>
          </w:p>
        </w:tc>
        <w:tc>
          <w:tcPr>
            <w:tcW w:w="988" w:type="dxa"/>
            <w:tcBorders>
              <w:tl2br w:val="nil"/>
              <w:tr2bl w:val="nil"/>
            </w:tcBorders>
            <w:shd w:val="clear" w:color="auto" w:fill="FFFFFF"/>
            <w:noWrap w:val="0"/>
            <w:vAlign w:val="center"/>
          </w:tcPr>
          <w:p>
            <w:pPr>
              <w:pStyle w:val="40"/>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2</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bl>
    <w:p>
      <w:pPr>
        <w:keepNext w:val="0"/>
        <w:keepLines w:val="0"/>
        <w:pageBreakBefore w:val="0"/>
        <w:widowControl w:val="0"/>
        <w:numPr>
          <w:ilvl w:val="0"/>
          <w:numId w:val="0"/>
        </w:numPr>
        <w:shd w:val="clear"/>
        <w:kinsoku/>
        <w:wordWrap/>
        <w:overflowPunct/>
        <w:topLinePunct w:val="0"/>
        <w:autoSpaceDE/>
        <w:autoSpaceDN/>
        <w:bidi w:val="0"/>
        <w:adjustRightInd/>
        <w:snapToGrid/>
        <w:jc w:val="left"/>
        <w:textAlignment w:val="auto"/>
        <w:outlineLvl w:val="9"/>
        <w:rPr>
          <w:rFonts w:hint="eastAsia" w:cs="Times New Roman"/>
          <w:b/>
          <w:bCs/>
          <w:color w:val="auto"/>
          <w:sz w:val="24"/>
          <w:szCs w:val="24"/>
          <w:lang w:val="en-US" w:eastAsia="zh-CN"/>
        </w:rPr>
      </w:pPr>
    </w:p>
    <w:p>
      <w:pPr>
        <w:pStyle w:val="27"/>
        <w:spacing w:before="156"/>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表3</w:t>
      </w:r>
      <w:r>
        <w:rPr>
          <w:rFonts w:hint="eastAsia" w:ascii="Times New Roman" w:hAnsi="Times New Roman" w:eastAsia="宋体" w:cs="Times New Roman"/>
          <w:color w:val="auto"/>
          <w:sz w:val="24"/>
          <w:szCs w:val="24"/>
          <w:lang w:val="en-US" w:eastAsia="zh-CN"/>
        </w:rPr>
        <w:t>.6-2</w:t>
      </w:r>
      <w:r>
        <w:rPr>
          <w:rFonts w:hint="default" w:ascii="Times New Roman" w:hAnsi="Times New Roman" w:eastAsia="宋体" w:cs="Times New Roman"/>
          <w:color w:val="auto"/>
          <w:sz w:val="24"/>
          <w:szCs w:val="24"/>
        </w:rPr>
        <w:t xml:space="preserve"> </w:t>
      </w:r>
      <w:r>
        <w:rPr>
          <w:rFonts w:hint="eastAsia" w:cs="Times New Roman"/>
          <w:color w:val="auto"/>
          <w:sz w:val="24"/>
          <w:szCs w:val="24"/>
          <w:lang w:val="en-US" w:eastAsia="zh-CN"/>
        </w:rPr>
        <w:t xml:space="preserve"> 项目油罐区应急防控设备一览表</w:t>
      </w:r>
    </w:p>
    <w:tbl>
      <w:tblPr>
        <w:tblStyle w:val="1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8"/>
        <w:gridCol w:w="3220"/>
        <w:gridCol w:w="988"/>
        <w:gridCol w:w="988"/>
        <w:gridCol w:w="20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noWrap w:val="0"/>
            <w:vAlign w:val="center"/>
          </w:tcPr>
          <w:p>
            <w:pPr>
              <w:pStyle w:val="4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3220" w:type="dxa"/>
            <w:tcBorders>
              <w:tl2br w:val="nil"/>
              <w:tr2bl w:val="nil"/>
            </w:tcBorders>
            <w:noWrap w:val="0"/>
            <w:vAlign w:val="center"/>
          </w:tcPr>
          <w:p>
            <w:pPr>
              <w:pStyle w:val="4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品名</w:t>
            </w:r>
          </w:p>
        </w:tc>
        <w:tc>
          <w:tcPr>
            <w:tcW w:w="988" w:type="dxa"/>
            <w:tcBorders>
              <w:tl2br w:val="nil"/>
              <w:tr2bl w:val="nil"/>
            </w:tcBorders>
            <w:noWrap w:val="0"/>
            <w:vAlign w:val="center"/>
          </w:tcPr>
          <w:p>
            <w:pPr>
              <w:pStyle w:val="4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单位</w:t>
            </w:r>
          </w:p>
        </w:tc>
        <w:tc>
          <w:tcPr>
            <w:tcW w:w="988" w:type="dxa"/>
            <w:tcBorders>
              <w:tl2br w:val="nil"/>
              <w:tr2bl w:val="nil"/>
            </w:tcBorders>
            <w:noWrap w:val="0"/>
            <w:vAlign w:val="center"/>
          </w:tcPr>
          <w:p>
            <w:pPr>
              <w:pStyle w:val="4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数量</w:t>
            </w:r>
          </w:p>
        </w:tc>
        <w:tc>
          <w:tcPr>
            <w:tcW w:w="2014" w:type="dxa"/>
            <w:tcBorders>
              <w:tl2br w:val="nil"/>
              <w:tr2bl w:val="nil"/>
            </w:tcBorders>
            <w:noWrap w:val="0"/>
            <w:vAlign w:val="center"/>
          </w:tcPr>
          <w:p>
            <w:pPr>
              <w:pStyle w:val="4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存放（配置）地点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220" w:type="dxa"/>
            <w:tcBorders>
              <w:tl2br w:val="nil"/>
              <w:tr2bl w:val="nil"/>
            </w:tcBorders>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正压式呼吸器</w:t>
            </w:r>
          </w:p>
        </w:tc>
        <w:tc>
          <w:tcPr>
            <w:tcW w:w="988" w:type="dxa"/>
            <w:tcBorders>
              <w:tl2br w:val="nil"/>
              <w:tr2bl w:val="nil"/>
            </w:tcBorders>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套</w:t>
            </w:r>
          </w:p>
        </w:tc>
        <w:tc>
          <w:tcPr>
            <w:tcW w:w="988" w:type="dxa"/>
            <w:tcBorders>
              <w:tl2br w:val="nil"/>
              <w:tr2bl w:val="nil"/>
            </w:tcBorders>
            <w:noWrap w:val="0"/>
            <w:vAlign w:val="center"/>
          </w:tcPr>
          <w:p>
            <w:pPr>
              <w:pStyle w:val="40"/>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1</w:t>
            </w:r>
          </w:p>
        </w:tc>
        <w:tc>
          <w:tcPr>
            <w:tcW w:w="2014" w:type="dxa"/>
            <w:tcBorders>
              <w:tl2br w:val="nil"/>
              <w:tr2bl w:val="nil"/>
            </w:tcBorders>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3220" w:type="dxa"/>
            <w:tcBorders>
              <w:tl2br w:val="nil"/>
              <w:tr2bl w:val="nil"/>
            </w:tcBorders>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消防隔热服</w:t>
            </w:r>
          </w:p>
        </w:tc>
        <w:tc>
          <w:tcPr>
            <w:tcW w:w="988" w:type="dxa"/>
            <w:tcBorders>
              <w:tl2br w:val="nil"/>
              <w:tr2bl w:val="nil"/>
            </w:tcBorders>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套</w:t>
            </w:r>
          </w:p>
        </w:tc>
        <w:tc>
          <w:tcPr>
            <w:tcW w:w="988" w:type="dxa"/>
            <w:tcBorders>
              <w:tl2br w:val="nil"/>
              <w:tr2bl w:val="nil"/>
            </w:tcBorders>
            <w:noWrap w:val="0"/>
            <w:vAlign w:val="center"/>
          </w:tcPr>
          <w:p>
            <w:pPr>
              <w:pStyle w:val="40"/>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1</w:t>
            </w:r>
          </w:p>
        </w:tc>
        <w:tc>
          <w:tcPr>
            <w:tcW w:w="2014" w:type="dxa"/>
            <w:tcBorders>
              <w:tl2br w:val="nil"/>
              <w:tr2bl w:val="nil"/>
            </w:tcBorders>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3220" w:type="dxa"/>
            <w:tcBorders>
              <w:tl2br w:val="nil"/>
              <w:tr2bl w:val="nil"/>
            </w:tcBorders>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防毒面具</w:t>
            </w:r>
          </w:p>
        </w:tc>
        <w:tc>
          <w:tcPr>
            <w:tcW w:w="988" w:type="dxa"/>
            <w:tcBorders>
              <w:tl2br w:val="nil"/>
              <w:tr2bl w:val="nil"/>
            </w:tcBorders>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个</w:t>
            </w:r>
          </w:p>
        </w:tc>
        <w:tc>
          <w:tcPr>
            <w:tcW w:w="988" w:type="dxa"/>
            <w:tcBorders>
              <w:tl2br w:val="nil"/>
              <w:tr2bl w:val="nil"/>
            </w:tcBorders>
            <w:noWrap w:val="0"/>
            <w:vAlign w:val="center"/>
          </w:tcPr>
          <w:p>
            <w:pPr>
              <w:pStyle w:val="40"/>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3</w:t>
            </w:r>
          </w:p>
        </w:tc>
        <w:tc>
          <w:tcPr>
            <w:tcW w:w="2014" w:type="dxa"/>
            <w:tcBorders>
              <w:tl2br w:val="nil"/>
              <w:tr2bl w:val="nil"/>
            </w:tcBorders>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3220" w:type="dxa"/>
            <w:tcBorders>
              <w:tl2br w:val="nil"/>
              <w:tr2bl w:val="nil"/>
            </w:tcBorders>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安全带</w:t>
            </w:r>
          </w:p>
        </w:tc>
        <w:tc>
          <w:tcPr>
            <w:tcW w:w="988" w:type="dxa"/>
            <w:tcBorders>
              <w:tl2br w:val="nil"/>
              <w:tr2bl w:val="nil"/>
            </w:tcBorders>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个</w:t>
            </w:r>
          </w:p>
        </w:tc>
        <w:tc>
          <w:tcPr>
            <w:tcW w:w="988" w:type="dxa"/>
            <w:tcBorders>
              <w:tl2br w:val="nil"/>
              <w:tr2bl w:val="nil"/>
            </w:tcBorders>
            <w:noWrap w:val="0"/>
            <w:vAlign w:val="center"/>
          </w:tcPr>
          <w:p>
            <w:pPr>
              <w:pStyle w:val="40"/>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9</w:t>
            </w:r>
          </w:p>
        </w:tc>
        <w:tc>
          <w:tcPr>
            <w:tcW w:w="2014" w:type="dxa"/>
            <w:tcBorders>
              <w:tl2br w:val="nil"/>
              <w:tr2bl w:val="nil"/>
            </w:tcBorders>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3220"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灭火毯（大）</w:t>
            </w:r>
          </w:p>
        </w:tc>
        <w:tc>
          <w:tcPr>
            <w:tcW w:w="988" w:type="dxa"/>
            <w:tcBorders>
              <w:tl2br w:val="nil"/>
              <w:tr2bl w:val="nil"/>
            </w:tcBorders>
            <w:shd w:val="clear" w:color="auto" w:fill="FFFFFF"/>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床</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16</w:t>
            </w:r>
          </w:p>
        </w:tc>
        <w:tc>
          <w:tcPr>
            <w:tcW w:w="2014" w:type="dxa"/>
            <w:tcBorders>
              <w:tl2br w:val="nil"/>
              <w:tr2bl w:val="nil"/>
            </w:tcBorders>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3220"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灭火毯（小）</w:t>
            </w:r>
          </w:p>
        </w:tc>
        <w:tc>
          <w:tcPr>
            <w:tcW w:w="988" w:type="dxa"/>
            <w:tcBorders>
              <w:tl2br w:val="nil"/>
              <w:tr2bl w:val="nil"/>
            </w:tcBorders>
            <w:shd w:val="clear" w:color="auto" w:fill="FFFFFF"/>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床</w:t>
            </w:r>
          </w:p>
        </w:tc>
        <w:tc>
          <w:tcPr>
            <w:tcW w:w="988" w:type="dxa"/>
            <w:tcBorders>
              <w:tl2br w:val="nil"/>
              <w:tr2bl w:val="nil"/>
            </w:tcBorders>
            <w:shd w:val="clear" w:color="auto" w:fill="FFFFFF"/>
            <w:noWrap w:val="0"/>
            <w:vAlign w:val="center"/>
          </w:tcPr>
          <w:p>
            <w:pPr>
              <w:pStyle w:val="40"/>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3</w:t>
            </w:r>
          </w:p>
        </w:tc>
        <w:tc>
          <w:tcPr>
            <w:tcW w:w="2014" w:type="dxa"/>
            <w:tcBorders>
              <w:tl2br w:val="nil"/>
              <w:tr2bl w:val="nil"/>
            </w:tcBorders>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3220"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防爆手摇泵</w:t>
            </w:r>
          </w:p>
        </w:tc>
        <w:tc>
          <w:tcPr>
            <w:tcW w:w="988" w:type="dxa"/>
            <w:tcBorders>
              <w:tl2br w:val="nil"/>
              <w:tr2bl w:val="nil"/>
            </w:tcBorders>
            <w:shd w:val="clear" w:color="auto" w:fill="FFFFFF"/>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988" w:type="dxa"/>
            <w:tcBorders>
              <w:tl2br w:val="nil"/>
              <w:tr2bl w:val="nil"/>
            </w:tcBorders>
            <w:shd w:val="clear" w:color="auto" w:fill="FFFFFF"/>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14" w:type="dxa"/>
            <w:tcBorders>
              <w:tl2br w:val="nil"/>
              <w:tr2bl w:val="nil"/>
            </w:tcBorders>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3220"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油桶</w:t>
            </w:r>
          </w:p>
        </w:tc>
        <w:tc>
          <w:tcPr>
            <w:tcW w:w="988" w:type="dxa"/>
            <w:tcBorders>
              <w:tl2br w:val="nil"/>
              <w:tr2bl w:val="nil"/>
            </w:tcBorders>
            <w:shd w:val="clear" w:color="auto" w:fill="FFFFFF"/>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只</w:t>
            </w:r>
          </w:p>
        </w:tc>
        <w:tc>
          <w:tcPr>
            <w:tcW w:w="988" w:type="dxa"/>
            <w:tcBorders>
              <w:tl2br w:val="nil"/>
              <w:tr2bl w:val="nil"/>
            </w:tcBorders>
            <w:shd w:val="clear" w:color="auto" w:fill="FFFFFF"/>
            <w:noWrap w:val="0"/>
            <w:vAlign w:val="center"/>
          </w:tcPr>
          <w:p>
            <w:pPr>
              <w:pStyle w:val="40"/>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2</w:t>
            </w:r>
          </w:p>
        </w:tc>
        <w:tc>
          <w:tcPr>
            <w:tcW w:w="2014" w:type="dxa"/>
            <w:tcBorders>
              <w:tl2br w:val="nil"/>
              <w:tr2bl w:val="nil"/>
            </w:tcBorders>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3220"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消防板手</w:t>
            </w:r>
          </w:p>
        </w:tc>
        <w:tc>
          <w:tcPr>
            <w:tcW w:w="988" w:type="dxa"/>
            <w:tcBorders>
              <w:tl2br w:val="nil"/>
              <w:tr2bl w:val="nil"/>
            </w:tcBorders>
            <w:shd w:val="clear" w:color="auto" w:fill="FFFFFF"/>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只</w:t>
            </w:r>
          </w:p>
        </w:tc>
        <w:tc>
          <w:tcPr>
            <w:tcW w:w="988" w:type="dxa"/>
            <w:tcBorders>
              <w:tl2br w:val="nil"/>
              <w:tr2bl w:val="nil"/>
            </w:tcBorders>
            <w:shd w:val="clear" w:color="auto" w:fill="FFFFFF"/>
            <w:noWrap w:val="0"/>
            <w:vAlign w:val="center"/>
          </w:tcPr>
          <w:p>
            <w:pPr>
              <w:pStyle w:val="40"/>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6</w:t>
            </w:r>
          </w:p>
        </w:tc>
        <w:tc>
          <w:tcPr>
            <w:tcW w:w="2014" w:type="dxa"/>
            <w:tcBorders>
              <w:tl2br w:val="nil"/>
              <w:tr2bl w:val="nil"/>
            </w:tcBorders>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急救药箱（大）</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担架</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付</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4公斤手提式干粉灭火器</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8</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8公斤手提式干粉灭火器</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只</w:t>
            </w:r>
          </w:p>
        </w:tc>
        <w:tc>
          <w:tcPr>
            <w:tcW w:w="988" w:type="dxa"/>
            <w:tcBorders>
              <w:tl2br w:val="nil"/>
              <w:tr2bl w:val="nil"/>
            </w:tcBorders>
            <w:shd w:val="clear" w:color="auto" w:fill="FFFFFF"/>
            <w:noWrap w:val="0"/>
            <w:vAlign w:val="center"/>
          </w:tcPr>
          <w:p>
            <w:pPr>
              <w:pStyle w:val="40"/>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13</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35公斤推车式干粉灭火器</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3</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铝桶</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eastAsia"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8</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铝瓢</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10</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发电机组带照明（小）</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台</w:t>
            </w:r>
          </w:p>
        </w:tc>
        <w:tc>
          <w:tcPr>
            <w:tcW w:w="988" w:type="dxa"/>
            <w:tcBorders>
              <w:tl2br w:val="nil"/>
              <w:tr2bl w:val="nil"/>
            </w:tcBorders>
            <w:shd w:val="clear" w:color="auto" w:fill="FFFFFF"/>
            <w:noWrap w:val="0"/>
            <w:vAlign w:val="bottom"/>
          </w:tcPr>
          <w:p>
            <w:pPr>
              <w:pStyle w:val="40"/>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1</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吸油毡</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包</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4</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吸油拖栏（围油拖栏）</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包</w:t>
            </w:r>
          </w:p>
        </w:tc>
        <w:tc>
          <w:tcPr>
            <w:tcW w:w="988" w:type="dxa"/>
            <w:tcBorders>
              <w:tl2br w:val="nil"/>
              <w:tr2bl w:val="nil"/>
            </w:tcBorders>
            <w:shd w:val="clear" w:color="auto" w:fill="FFFFFF"/>
            <w:noWrap w:val="0"/>
            <w:vAlign w:val="center"/>
          </w:tcPr>
          <w:p>
            <w:pPr>
              <w:pStyle w:val="40"/>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3</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充电应急灯（小）</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台</w:t>
            </w:r>
          </w:p>
        </w:tc>
        <w:tc>
          <w:tcPr>
            <w:tcW w:w="988" w:type="dxa"/>
            <w:tcBorders>
              <w:tl2br w:val="nil"/>
              <w:tr2bl w:val="nil"/>
            </w:tcBorders>
            <w:shd w:val="clear" w:color="auto" w:fill="FFFFFF"/>
            <w:noWrap w:val="0"/>
            <w:vAlign w:val="bottom"/>
          </w:tcPr>
          <w:p>
            <w:pPr>
              <w:pStyle w:val="40"/>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1</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单相汽油发电机（大）</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台</w:t>
            </w:r>
          </w:p>
        </w:tc>
        <w:tc>
          <w:tcPr>
            <w:tcW w:w="988" w:type="dxa"/>
            <w:tcBorders>
              <w:tl2br w:val="nil"/>
              <w:tr2bl w:val="nil"/>
            </w:tcBorders>
            <w:shd w:val="clear" w:color="auto" w:fill="FFFFFF"/>
            <w:noWrap w:val="0"/>
            <w:vAlign w:val="bottom"/>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警戒带（大）</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米</w:t>
            </w:r>
          </w:p>
        </w:tc>
        <w:tc>
          <w:tcPr>
            <w:tcW w:w="988" w:type="dxa"/>
            <w:tcBorders>
              <w:tl2br w:val="nil"/>
              <w:tr2bl w:val="nil"/>
            </w:tcBorders>
            <w:shd w:val="clear" w:color="auto" w:fill="FFFFFF"/>
            <w:noWrap w:val="0"/>
            <w:vAlign w:val="bottom"/>
          </w:tcPr>
          <w:p>
            <w:pPr>
              <w:pStyle w:val="40"/>
              <w:rPr>
                <w:rFonts w:hint="eastAsia"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500</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防刺背心</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伸缩警棍</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加力杆</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4</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救生衣</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件</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0</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27</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铁桶</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耳塞</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盒</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5</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耳罩</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盒</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11</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安全帽</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顶</w:t>
            </w:r>
          </w:p>
        </w:tc>
        <w:tc>
          <w:tcPr>
            <w:tcW w:w="988" w:type="dxa"/>
            <w:tcBorders>
              <w:tl2br w:val="nil"/>
              <w:tr2bl w:val="nil"/>
            </w:tcBorders>
            <w:shd w:val="clear" w:color="auto" w:fill="FFFFFF"/>
            <w:noWrap w:val="0"/>
            <w:vAlign w:val="center"/>
          </w:tcPr>
          <w:p>
            <w:pPr>
              <w:pStyle w:val="40"/>
              <w:rPr>
                <w:rFonts w:hint="eastAsia"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5</w:t>
            </w:r>
            <w:r>
              <w:rPr>
                <w:rFonts w:hint="eastAsia" w:ascii="Times New Roman" w:hAnsi="Times New Roman" w:cs="Times New Roman"/>
                <w:color w:val="auto"/>
                <w:sz w:val="21"/>
                <w:szCs w:val="21"/>
                <w:lang w:val="en-US" w:eastAsia="zh-CN"/>
              </w:rPr>
              <w:t>0</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防冻手套</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双</w:t>
            </w:r>
          </w:p>
        </w:tc>
        <w:tc>
          <w:tcPr>
            <w:tcW w:w="988" w:type="dxa"/>
            <w:tcBorders>
              <w:tl2br w:val="nil"/>
              <w:tr2bl w:val="nil"/>
            </w:tcBorders>
            <w:shd w:val="clear" w:color="auto" w:fill="FFFFFF"/>
            <w:noWrap w:val="0"/>
            <w:vAlign w:val="center"/>
          </w:tcPr>
          <w:p>
            <w:pPr>
              <w:pStyle w:val="40"/>
              <w:rPr>
                <w:rFonts w:hint="eastAsia"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7</w:t>
            </w:r>
            <w:r>
              <w:rPr>
                <w:rFonts w:hint="eastAsia" w:ascii="Times New Roman" w:hAnsi="Times New Roman" w:cs="Times New Roman"/>
                <w:color w:val="auto"/>
                <w:sz w:val="21"/>
                <w:szCs w:val="21"/>
                <w:lang w:val="en-US" w:eastAsia="zh-CN"/>
              </w:rPr>
              <w:t>0</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32</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耐油手套</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双</w:t>
            </w:r>
          </w:p>
        </w:tc>
        <w:tc>
          <w:tcPr>
            <w:tcW w:w="988" w:type="dxa"/>
            <w:tcBorders>
              <w:tl2br w:val="nil"/>
              <w:tr2bl w:val="nil"/>
            </w:tcBorders>
            <w:shd w:val="clear" w:color="auto" w:fill="FFFFFF"/>
            <w:noWrap w:val="0"/>
            <w:vAlign w:val="center"/>
          </w:tcPr>
          <w:p>
            <w:pPr>
              <w:pStyle w:val="40"/>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2</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33</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灭火防护手套</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双</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34</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消防锹（铁的）</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把</w:t>
            </w:r>
          </w:p>
        </w:tc>
        <w:tc>
          <w:tcPr>
            <w:tcW w:w="988" w:type="dxa"/>
            <w:tcBorders>
              <w:tl2br w:val="nil"/>
              <w:tr2bl w:val="nil"/>
            </w:tcBorders>
            <w:shd w:val="clear" w:color="auto" w:fill="FFFFFF"/>
            <w:noWrap w:val="0"/>
            <w:vAlign w:val="center"/>
          </w:tcPr>
          <w:p>
            <w:pPr>
              <w:pStyle w:val="40"/>
              <w:rPr>
                <w:rFonts w:hint="eastAsia"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r>
              <w:rPr>
                <w:rFonts w:hint="eastAsia" w:ascii="Times New Roman" w:hAnsi="Times New Roman" w:cs="Times New Roman"/>
                <w:color w:val="auto"/>
                <w:sz w:val="21"/>
                <w:szCs w:val="21"/>
                <w:lang w:val="en-US" w:eastAsia="zh-CN"/>
              </w:rPr>
              <w:t>0</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直流水枪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3</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36</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泡沫枪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4</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37</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8公斤干粉灭火器喷管</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rPr>
              <w:t>5</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38</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防爆电动抽油泵</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台</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39</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防渗透布</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平方</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200</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储油囊</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1</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41</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便携式可燃气体检测仪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1</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42</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雨衣</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件</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r>
              <w:rPr>
                <w:rFonts w:hint="eastAsia" w:ascii="Times New Roman" w:hAnsi="Times New Roman" w:cs="Times New Roman"/>
                <w:color w:val="auto"/>
                <w:sz w:val="21"/>
                <w:szCs w:val="21"/>
                <w:lang w:val="en-US" w:eastAsia="zh-CN"/>
              </w:rPr>
              <w:t>5</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43</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蛇皮袋</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bottom"/>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500</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44</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木质堵漏楔</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套</w:t>
            </w:r>
          </w:p>
        </w:tc>
        <w:tc>
          <w:tcPr>
            <w:tcW w:w="988" w:type="dxa"/>
            <w:tcBorders>
              <w:tl2br w:val="nil"/>
              <w:tr2bl w:val="nil"/>
            </w:tcBorders>
            <w:shd w:val="clear" w:color="auto" w:fill="FFFFFF"/>
            <w:noWrap w:val="0"/>
            <w:vAlign w:val="center"/>
          </w:tcPr>
          <w:p>
            <w:pPr>
              <w:pStyle w:val="40"/>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3</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45</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防爆头灯</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eastAsia"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4</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46</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铜锹</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把</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14</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47</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自发电泥浆泵</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台</w:t>
            </w:r>
          </w:p>
        </w:tc>
        <w:tc>
          <w:tcPr>
            <w:tcW w:w="988" w:type="dxa"/>
            <w:tcBorders>
              <w:tl2br w:val="nil"/>
              <w:tr2bl w:val="nil"/>
            </w:tcBorders>
            <w:shd w:val="clear" w:color="auto" w:fill="FFFFFF"/>
            <w:noWrap w:val="0"/>
            <w:vAlign w:val="bottom"/>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48</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电火花检测仪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台</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49</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防爆手电筒</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台</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救生圈</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5</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51</w:t>
            </w:r>
          </w:p>
        </w:tc>
        <w:tc>
          <w:tcPr>
            <w:tcW w:w="3220" w:type="dxa"/>
            <w:tcBorders>
              <w:tl2br w:val="nil"/>
              <w:tr2bl w:val="nil"/>
            </w:tcBorders>
            <w:shd w:val="clear" w:color="000000"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空气呼吸器（逃生用）</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8</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52</w:t>
            </w:r>
          </w:p>
        </w:tc>
        <w:tc>
          <w:tcPr>
            <w:tcW w:w="3220" w:type="dxa"/>
            <w:tcBorders>
              <w:tl2br w:val="nil"/>
              <w:tr2bl w:val="nil"/>
            </w:tcBorders>
            <w:shd w:val="clear" w:color="000000"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防爆工具</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套</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53</w:t>
            </w:r>
          </w:p>
        </w:tc>
        <w:tc>
          <w:tcPr>
            <w:tcW w:w="3220" w:type="dxa"/>
            <w:tcBorders>
              <w:tl2br w:val="nil"/>
              <w:tr2bl w:val="nil"/>
            </w:tcBorders>
            <w:shd w:val="clear" w:color="000000"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防爆腰斧</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54</w:t>
            </w:r>
          </w:p>
        </w:tc>
        <w:tc>
          <w:tcPr>
            <w:tcW w:w="3220" w:type="dxa"/>
            <w:tcBorders>
              <w:tl2br w:val="nil"/>
              <w:tr2bl w:val="nil"/>
            </w:tcBorders>
            <w:shd w:val="clear" w:color="000000"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工兵铲</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3220" w:type="dxa"/>
            <w:tcBorders>
              <w:tl2br w:val="nil"/>
              <w:tr2bl w:val="nil"/>
            </w:tcBorders>
            <w:shd w:val="clear" w:color="000000"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十字镐</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56</w:t>
            </w:r>
          </w:p>
        </w:tc>
        <w:tc>
          <w:tcPr>
            <w:tcW w:w="3220" w:type="dxa"/>
            <w:tcBorders>
              <w:tl2br w:val="nil"/>
              <w:tr2bl w:val="nil"/>
            </w:tcBorders>
            <w:shd w:val="clear" w:color="000000"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大锤</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57</w:t>
            </w:r>
          </w:p>
        </w:tc>
        <w:tc>
          <w:tcPr>
            <w:tcW w:w="3220" w:type="dxa"/>
            <w:tcBorders>
              <w:tl2br w:val="nil"/>
              <w:tr2bl w:val="nil"/>
            </w:tcBorders>
            <w:shd w:val="clear" w:color="000000"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锄头</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58</w:t>
            </w:r>
          </w:p>
        </w:tc>
        <w:tc>
          <w:tcPr>
            <w:tcW w:w="3220" w:type="dxa"/>
            <w:tcBorders>
              <w:tl2br w:val="nil"/>
              <w:tr2bl w:val="nil"/>
            </w:tcBorders>
            <w:shd w:val="clear" w:color="000000"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镰刀</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把</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5</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59</w:t>
            </w:r>
          </w:p>
        </w:tc>
        <w:tc>
          <w:tcPr>
            <w:tcW w:w="3220" w:type="dxa"/>
            <w:tcBorders>
              <w:tl2br w:val="nil"/>
              <w:tr2bl w:val="nil"/>
            </w:tcBorders>
            <w:shd w:val="clear" w:color="000000"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松木桩</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8</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3220" w:type="dxa"/>
            <w:tcBorders>
              <w:tl2br w:val="nil"/>
              <w:tr2bl w:val="nil"/>
            </w:tcBorders>
            <w:shd w:val="clear" w:color="000000"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麻布片</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片</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50</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61</w:t>
            </w:r>
          </w:p>
        </w:tc>
        <w:tc>
          <w:tcPr>
            <w:tcW w:w="3220" w:type="dxa"/>
            <w:tcBorders>
              <w:tl2br w:val="nil"/>
              <w:tr2bl w:val="nil"/>
            </w:tcBorders>
            <w:shd w:val="clear" w:color="000000"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尼龙绳</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捆</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62</w:t>
            </w:r>
          </w:p>
        </w:tc>
        <w:tc>
          <w:tcPr>
            <w:tcW w:w="3220" w:type="dxa"/>
            <w:tcBorders>
              <w:tl2br w:val="nil"/>
              <w:tr2bl w:val="nil"/>
            </w:tcBorders>
            <w:shd w:val="clear" w:color="000000"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水幕水带</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63</w:t>
            </w:r>
          </w:p>
        </w:tc>
        <w:tc>
          <w:tcPr>
            <w:tcW w:w="3220" w:type="dxa"/>
            <w:tcBorders>
              <w:tl2br w:val="nil"/>
              <w:tr2bl w:val="nil"/>
            </w:tcBorders>
            <w:shd w:val="clear" w:color="000000"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接油盘</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4</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64</w:t>
            </w:r>
          </w:p>
        </w:tc>
        <w:tc>
          <w:tcPr>
            <w:tcW w:w="3220" w:type="dxa"/>
            <w:tcBorders>
              <w:tl2br w:val="nil"/>
              <w:tr2bl w:val="nil"/>
            </w:tcBorders>
            <w:shd w:val="clear" w:color="000000"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搬运手推车</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w:t>
            </w:r>
          </w:p>
        </w:tc>
        <w:tc>
          <w:tcPr>
            <w:tcW w:w="3220" w:type="dxa"/>
            <w:tcBorders>
              <w:tl2br w:val="nil"/>
              <w:tr2bl w:val="nil"/>
            </w:tcBorders>
            <w:shd w:val="clear" w:color="000000"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手持扩音器</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66</w:t>
            </w:r>
          </w:p>
        </w:tc>
        <w:tc>
          <w:tcPr>
            <w:tcW w:w="3220" w:type="dxa"/>
            <w:tcBorders>
              <w:tl2br w:val="nil"/>
              <w:tr2bl w:val="nil"/>
            </w:tcBorders>
            <w:shd w:val="clear" w:color="000000"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警示牌</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3</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67</w:t>
            </w:r>
          </w:p>
        </w:tc>
        <w:tc>
          <w:tcPr>
            <w:tcW w:w="3220" w:type="dxa"/>
            <w:tcBorders>
              <w:tl2br w:val="nil"/>
              <w:tr2bl w:val="nil"/>
            </w:tcBorders>
            <w:shd w:val="clear" w:color="000000"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警戒杆</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eastAsia"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3</w:t>
            </w:r>
            <w:r>
              <w:rPr>
                <w:rFonts w:hint="eastAsia" w:ascii="Times New Roman" w:hAnsi="Times New Roman" w:cs="Times New Roman"/>
                <w:color w:val="auto"/>
                <w:sz w:val="21"/>
                <w:szCs w:val="21"/>
                <w:lang w:val="en-US" w:eastAsia="zh-CN"/>
              </w:rPr>
              <w:t>0</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68</w:t>
            </w:r>
          </w:p>
        </w:tc>
        <w:tc>
          <w:tcPr>
            <w:tcW w:w="3220" w:type="dxa"/>
            <w:tcBorders>
              <w:tl2br w:val="nil"/>
              <w:tr2bl w:val="nil"/>
            </w:tcBorders>
            <w:shd w:val="clear" w:color="000000"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移动式静电接地线</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套</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69</w:t>
            </w:r>
          </w:p>
        </w:tc>
        <w:tc>
          <w:tcPr>
            <w:tcW w:w="3220" w:type="dxa"/>
            <w:tcBorders>
              <w:tl2br w:val="nil"/>
              <w:tr2bl w:val="nil"/>
            </w:tcBorders>
            <w:shd w:val="clear" w:color="000000"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接地线</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米</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20</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3220" w:type="dxa"/>
            <w:tcBorders>
              <w:tl2br w:val="nil"/>
              <w:tr2bl w:val="nil"/>
            </w:tcBorders>
            <w:shd w:val="clear" w:color="000000"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帐篷</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71</w:t>
            </w:r>
          </w:p>
        </w:tc>
        <w:tc>
          <w:tcPr>
            <w:tcW w:w="3220" w:type="dxa"/>
            <w:tcBorders>
              <w:tl2br w:val="nil"/>
              <w:tr2bl w:val="nil"/>
            </w:tcBorders>
            <w:shd w:val="clear" w:color="000000"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雨鞋</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双</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13</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72</w:t>
            </w:r>
          </w:p>
        </w:tc>
        <w:tc>
          <w:tcPr>
            <w:tcW w:w="3220" w:type="dxa"/>
            <w:tcBorders>
              <w:tl2br w:val="nil"/>
              <w:tr2bl w:val="nil"/>
            </w:tcBorders>
            <w:shd w:val="clear" w:color="000000"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万用手机充电器</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73</w:t>
            </w:r>
          </w:p>
        </w:tc>
        <w:tc>
          <w:tcPr>
            <w:tcW w:w="3220" w:type="dxa"/>
            <w:tcBorders>
              <w:tl2br w:val="nil"/>
              <w:tr2bl w:val="nil"/>
            </w:tcBorders>
            <w:shd w:val="clear" w:color="000000"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风向标</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74</w:t>
            </w:r>
          </w:p>
        </w:tc>
        <w:tc>
          <w:tcPr>
            <w:tcW w:w="3220" w:type="dxa"/>
            <w:tcBorders>
              <w:tl2br w:val="nil"/>
              <w:tr2bl w:val="nil"/>
            </w:tcBorders>
            <w:shd w:val="clear" w:color="000000"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折叠椅</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6</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w:t>
            </w:r>
          </w:p>
        </w:tc>
        <w:tc>
          <w:tcPr>
            <w:tcW w:w="3220" w:type="dxa"/>
            <w:tcBorders>
              <w:tl2br w:val="nil"/>
              <w:tr2bl w:val="nil"/>
            </w:tcBorders>
            <w:shd w:val="clear" w:color="000000"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折叠桌</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76</w:t>
            </w:r>
          </w:p>
        </w:tc>
        <w:tc>
          <w:tcPr>
            <w:tcW w:w="3220" w:type="dxa"/>
            <w:tcBorders>
              <w:tl2br w:val="nil"/>
              <w:tr2bl w:val="nil"/>
            </w:tcBorders>
            <w:shd w:val="clear" w:color="000000"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防火罩</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8</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77</w:t>
            </w:r>
          </w:p>
        </w:tc>
        <w:tc>
          <w:tcPr>
            <w:tcW w:w="3220" w:type="dxa"/>
            <w:tcBorders>
              <w:tl2br w:val="nil"/>
              <w:tr2bl w:val="nil"/>
            </w:tcBorders>
            <w:shd w:val="clear" w:color="000000"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毛毡</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平方</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0</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78</w:t>
            </w:r>
          </w:p>
        </w:tc>
        <w:tc>
          <w:tcPr>
            <w:tcW w:w="3220" w:type="dxa"/>
            <w:tcBorders>
              <w:tl2br w:val="nil"/>
              <w:tr2bl w:val="nil"/>
            </w:tcBorders>
            <w:shd w:val="clear" w:color="000000"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雷迪管道探测仪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套</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79</w:t>
            </w:r>
          </w:p>
        </w:tc>
        <w:tc>
          <w:tcPr>
            <w:tcW w:w="3220" w:type="dxa"/>
            <w:tcBorders>
              <w:tl2br w:val="nil"/>
              <w:tr2bl w:val="nil"/>
            </w:tcBorders>
            <w:shd w:val="clear" w:color="000000"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救生衣(充气式）</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件</w:t>
            </w:r>
          </w:p>
        </w:tc>
        <w:tc>
          <w:tcPr>
            <w:tcW w:w="988" w:type="dxa"/>
            <w:tcBorders>
              <w:tl2br w:val="nil"/>
              <w:tr2bl w:val="nil"/>
            </w:tcBorders>
            <w:shd w:val="clear" w:color="auto" w:fill="FFFFFF"/>
            <w:noWrap w:val="0"/>
            <w:vAlign w:val="center"/>
          </w:tcPr>
          <w:p>
            <w:pPr>
              <w:pStyle w:val="40"/>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2</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w:t>
            </w:r>
          </w:p>
        </w:tc>
        <w:tc>
          <w:tcPr>
            <w:tcW w:w="3220" w:type="dxa"/>
            <w:tcBorders>
              <w:tl2br w:val="nil"/>
              <w:tr2bl w:val="nil"/>
            </w:tcBorders>
            <w:shd w:val="clear" w:color="000000"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绝缘手套</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双</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81</w:t>
            </w:r>
          </w:p>
        </w:tc>
        <w:tc>
          <w:tcPr>
            <w:tcW w:w="3220" w:type="dxa"/>
            <w:tcBorders>
              <w:tl2br w:val="nil"/>
              <w:tr2bl w:val="nil"/>
            </w:tcBorders>
            <w:shd w:val="clear" w:color="000000"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高低压验电笔</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支</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82</w:t>
            </w:r>
          </w:p>
        </w:tc>
        <w:tc>
          <w:tcPr>
            <w:tcW w:w="3220" w:type="dxa"/>
            <w:tcBorders>
              <w:tl2br w:val="nil"/>
              <w:tr2bl w:val="nil"/>
            </w:tcBorders>
            <w:shd w:val="clear" w:color="000000"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护目镜</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13</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83</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线盘</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84</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洗消机</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台</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85</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消油剂</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桶</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6</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86</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喷雾水枪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87</w:t>
            </w:r>
          </w:p>
        </w:tc>
        <w:tc>
          <w:tcPr>
            <w:tcW w:w="3220" w:type="dxa"/>
            <w:tcBorders>
              <w:tl2br w:val="nil"/>
              <w:tr2bl w:val="nil"/>
            </w:tcBorders>
            <w:shd w:val="clear" w:color="000000"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耐酸碱手套</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双</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16</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88</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透明皂</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箱</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89</w:t>
            </w:r>
          </w:p>
        </w:tc>
        <w:tc>
          <w:tcPr>
            <w:tcW w:w="3220" w:type="dxa"/>
            <w:tcBorders>
              <w:tl2br w:val="nil"/>
              <w:tr2bl w:val="nil"/>
            </w:tcBorders>
            <w:shd w:val="clear" w:color="auto" w:fill="auto"/>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油漆</w:t>
            </w:r>
          </w:p>
        </w:tc>
        <w:tc>
          <w:tcPr>
            <w:tcW w:w="988" w:type="dxa"/>
            <w:tcBorders>
              <w:tl2br w:val="nil"/>
              <w:tr2bl w:val="nil"/>
            </w:tcBorders>
            <w:shd w:val="clear" w:color="auto" w:fill="FFFFFF"/>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桶</w:t>
            </w:r>
          </w:p>
        </w:tc>
        <w:tc>
          <w:tcPr>
            <w:tcW w:w="988" w:type="dxa"/>
            <w:tcBorders>
              <w:tl2br w:val="nil"/>
              <w:tr2bl w:val="nil"/>
            </w:tcBorders>
            <w:shd w:val="clear" w:color="auto" w:fill="FFFFFF"/>
            <w:noWrap w:val="0"/>
            <w:vAlign w:val="center"/>
          </w:tcPr>
          <w:p>
            <w:pPr>
              <w:pStyle w:val="40"/>
              <w:rPr>
                <w:rFonts w:hint="eastAsia"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w:t>
            </w:r>
          </w:p>
        </w:tc>
        <w:tc>
          <w:tcPr>
            <w:tcW w:w="3220"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堵漏涂料</w:t>
            </w:r>
          </w:p>
        </w:tc>
        <w:tc>
          <w:tcPr>
            <w:tcW w:w="988"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包</w:t>
            </w:r>
          </w:p>
        </w:tc>
        <w:tc>
          <w:tcPr>
            <w:tcW w:w="988"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91</w:t>
            </w:r>
          </w:p>
        </w:tc>
        <w:tc>
          <w:tcPr>
            <w:tcW w:w="3220"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工作大褂</w:t>
            </w:r>
          </w:p>
        </w:tc>
        <w:tc>
          <w:tcPr>
            <w:tcW w:w="988"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件</w:t>
            </w:r>
          </w:p>
        </w:tc>
        <w:tc>
          <w:tcPr>
            <w:tcW w:w="988"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5</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92</w:t>
            </w:r>
          </w:p>
        </w:tc>
        <w:tc>
          <w:tcPr>
            <w:tcW w:w="3220"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苏醒球</w:t>
            </w:r>
          </w:p>
        </w:tc>
        <w:tc>
          <w:tcPr>
            <w:tcW w:w="988"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盒</w:t>
            </w:r>
          </w:p>
        </w:tc>
        <w:tc>
          <w:tcPr>
            <w:tcW w:w="988"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3</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93</w:t>
            </w:r>
          </w:p>
        </w:tc>
        <w:tc>
          <w:tcPr>
            <w:tcW w:w="3220"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二氧化碳灭火器</w:t>
            </w:r>
          </w:p>
        </w:tc>
        <w:tc>
          <w:tcPr>
            <w:tcW w:w="988"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具</w:t>
            </w:r>
          </w:p>
        </w:tc>
        <w:tc>
          <w:tcPr>
            <w:tcW w:w="988"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16</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noWrap w:val="0"/>
            <w:vAlign w:val="center"/>
          </w:tcPr>
          <w:p>
            <w:pPr>
              <w:pStyle w:val="4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94</w:t>
            </w:r>
          </w:p>
        </w:tc>
        <w:tc>
          <w:tcPr>
            <w:tcW w:w="3220"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多用绳</w:t>
            </w:r>
          </w:p>
        </w:tc>
        <w:tc>
          <w:tcPr>
            <w:tcW w:w="988"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捆</w:t>
            </w:r>
          </w:p>
        </w:tc>
        <w:tc>
          <w:tcPr>
            <w:tcW w:w="988"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5</w:t>
            </w:r>
          </w:p>
        </w:tc>
        <w:tc>
          <w:tcPr>
            <w:tcW w:w="2014" w:type="dxa"/>
            <w:tcBorders>
              <w:tl2br w:val="nil"/>
              <w:tr2bl w:val="nil"/>
            </w:tcBorders>
            <w:noWrap w:val="0"/>
            <w:vAlign w:val="center"/>
          </w:tcPr>
          <w:p>
            <w:pPr>
              <w:pStyle w:val="4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sz w:val="21"/>
                <w:szCs w:val="21"/>
              </w:rPr>
              <w:t>码头应急仓库</w:t>
            </w:r>
          </w:p>
        </w:tc>
      </w:tr>
    </w:tbl>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0"/>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sz w:val="32"/>
          <w:szCs w:val="32"/>
          <w:lang w:eastAsia="zh-CN"/>
        </w:rPr>
      </w:pPr>
      <w:bookmarkStart w:id="48" w:name="_Toc21539"/>
      <w:r>
        <w:rPr>
          <w:rFonts w:hint="eastAsia" w:eastAsia="宋体" w:cs="Times New Roman"/>
          <w:b/>
          <w:bCs/>
          <w:sz w:val="32"/>
          <w:szCs w:val="32"/>
          <w:lang w:val="en-US" w:eastAsia="zh-CN"/>
        </w:rPr>
        <w:t>4突发环境事件及后果分析</w:t>
      </w:r>
      <w:bookmarkEnd w:id="48"/>
    </w:p>
    <w:p>
      <w:pPr>
        <w:pStyle w:val="21"/>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outlineLvl w:val="0"/>
        <w:rPr>
          <w:rFonts w:hint="default" w:ascii="Times New Roman" w:hAnsi="Times New Roman" w:eastAsia="宋体" w:cs="Times New Roman"/>
          <w:sz w:val="30"/>
          <w:szCs w:val="30"/>
        </w:rPr>
      </w:pPr>
      <w:bookmarkStart w:id="49" w:name="_Toc18133"/>
      <w:r>
        <w:rPr>
          <w:rFonts w:hint="eastAsia" w:eastAsia="宋体" w:cs="Times New Roman"/>
          <w:sz w:val="30"/>
          <w:szCs w:val="30"/>
          <w:lang w:val="en-US" w:eastAsia="zh-CN"/>
        </w:rPr>
        <w:t>4</w:t>
      </w:r>
      <w:r>
        <w:rPr>
          <w:rFonts w:hint="default" w:ascii="Times New Roman" w:hAnsi="Times New Roman" w:eastAsia="宋体" w:cs="Times New Roman"/>
          <w:sz w:val="30"/>
          <w:szCs w:val="30"/>
        </w:rPr>
        <w:t>.1突发环境事件情景分析</w:t>
      </w:r>
      <w:bookmarkEnd w:id="49"/>
    </w:p>
    <w:p>
      <w:pPr>
        <w:pStyle w:val="22"/>
        <w:keepNext w:val="0"/>
        <w:keepLines w:val="0"/>
        <w:pageBreakBefore w:val="0"/>
        <w:widowControl w:val="0"/>
        <w:kinsoku/>
        <w:wordWrap/>
        <w:overflowPunct/>
        <w:topLinePunct w:val="0"/>
        <w:autoSpaceDE/>
        <w:autoSpaceDN/>
        <w:bidi w:val="0"/>
        <w:adjustRightInd/>
        <w:snapToGrid/>
        <w:spacing w:before="0" w:beforeLines="0" w:after="0" w:afterLines="0"/>
        <w:textAlignment w:val="auto"/>
        <w:outlineLvl w:val="1"/>
        <w:rPr>
          <w:rFonts w:hint="eastAsia" w:ascii="Times New Roman" w:hAnsi="Times New Roman" w:eastAsia="宋体" w:cs="Times New Roman"/>
          <w:lang w:eastAsia="zh-CN"/>
        </w:rPr>
      </w:pPr>
      <w:bookmarkStart w:id="50" w:name="_Toc30804"/>
      <w:r>
        <w:rPr>
          <w:rFonts w:hint="eastAsia" w:eastAsia="宋体" w:cs="Times New Roman"/>
          <w:lang w:val="en-US" w:eastAsia="zh-CN"/>
        </w:rPr>
        <w:t>4.</w:t>
      </w:r>
      <w:r>
        <w:rPr>
          <w:rFonts w:hint="eastAsia" w:ascii="Times New Roman" w:hAnsi="Times New Roman" w:eastAsia="宋体" w:cs="Times New Roman"/>
          <w:lang w:val="en-US" w:eastAsia="zh-CN"/>
        </w:rPr>
        <w:t>1</w:t>
      </w:r>
      <w:r>
        <w:rPr>
          <w:rFonts w:hint="default" w:ascii="Times New Roman" w:hAnsi="Times New Roman" w:eastAsia="宋体" w:cs="Times New Roman"/>
        </w:rPr>
        <w:t>.1国内外同类企业突发环境事件资料</w:t>
      </w:r>
      <w:bookmarkEnd w:id="50"/>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highlight w:val="none"/>
          <w:lang w:eastAsia="zh-CN"/>
        </w:rPr>
      </w:pPr>
      <w:bookmarkStart w:id="51" w:name="_Toc21318"/>
      <w:r>
        <w:rPr>
          <w:rFonts w:hint="eastAsia" w:ascii="Times New Roman" w:hAnsi="Times New Roman" w:eastAsia="宋体" w:cs="Times New Roman"/>
          <w:highlight w:val="none"/>
          <w:lang w:val="en-US" w:eastAsia="zh-CN"/>
        </w:rPr>
        <w:t>1</w:t>
      </w:r>
      <w:r>
        <w:rPr>
          <w:rFonts w:hint="default" w:ascii="Times New Roman" w:hAnsi="Times New Roman" w:eastAsia="宋体" w:cs="Times New Roman"/>
          <w:highlight w:val="none"/>
          <w:lang w:eastAsia="zh-CN"/>
        </w:rPr>
        <w:t>、辽宁省沈阳市某油库油罐连锁爆炸事件</w:t>
      </w:r>
      <w:bookmarkEnd w:id="51"/>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r>
        <w:rPr>
          <w:rFonts w:hint="eastAsia" w:ascii="Times New Roman" w:hAnsi="Times New Roman" w:eastAsia="宋体" w:cs="Times New Roman"/>
          <w:highlight w:val="none"/>
          <w:lang w:eastAsia="zh-CN"/>
        </w:rPr>
        <w:t>（</w:t>
      </w:r>
      <w:r>
        <w:rPr>
          <w:rFonts w:hint="eastAsia" w:ascii="Times New Roman" w:hAnsi="Times New Roman" w:eastAsia="宋体" w:cs="Times New Roman"/>
          <w:highlight w:val="none"/>
          <w:lang w:val="en-US" w:eastAsia="zh-CN"/>
        </w:rPr>
        <w:t>1</w:t>
      </w:r>
      <w:r>
        <w:rPr>
          <w:rFonts w:hint="eastAsia" w:ascii="Times New Roman" w:hAnsi="Times New Roman" w:eastAsia="宋体" w:cs="Times New Roman"/>
          <w:highlight w:val="none"/>
          <w:lang w:eastAsia="zh-CN"/>
        </w:rPr>
        <w:t>）</w:t>
      </w:r>
      <w:r>
        <w:rPr>
          <w:rFonts w:hint="default" w:ascii="Times New Roman" w:hAnsi="Times New Roman" w:eastAsia="宋体" w:cs="Times New Roman"/>
          <w:highlight w:val="none"/>
          <w:lang w:eastAsia="zh-CN"/>
        </w:rPr>
        <w:t>事件经过</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t>2001年9月1日凌晨，辽宁省沈阳市某油库发生一起油罐连锁爆炸事故，储油总量为3200m3的8个油罐先后起火爆炸。凌晨4时30分，该油库在倒罐作业过程中4名作业人员全部不再作业现场，或看电视或睡觉，造成油料外溢，大量挥发性气体沿地表一直扩散到160m外的车库内。司机贸然发动汽车，形成点火源，发生着火爆炸。8座400m3地面罐及1000m3库房被烧毁，死亡6人，重伤2人，直接经济损失达1000万元。</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r>
        <w:rPr>
          <w:rFonts w:hint="eastAsia" w:ascii="Times New Roman" w:hAnsi="Times New Roman" w:eastAsia="宋体" w:cs="Times New Roman"/>
          <w:highlight w:val="none"/>
          <w:lang w:eastAsia="zh-CN"/>
        </w:rPr>
        <w:t>（</w:t>
      </w:r>
      <w:r>
        <w:rPr>
          <w:rFonts w:hint="eastAsia" w:ascii="Times New Roman" w:hAnsi="Times New Roman" w:eastAsia="宋体" w:cs="Times New Roman"/>
          <w:highlight w:val="none"/>
          <w:lang w:val="en-US" w:eastAsia="zh-CN"/>
        </w:rPr>
        <w:t>2</w:t>
      </w:r>
      <w:r>
        <w:rPr>
          <w:rFonts w:hint="eastAsia" w:ascii="Times New Roman" w:hAnsi="Times New Roman" w:eastAsia="宋体" w:cs="Times New Roman"/>
          <w:highlight w:val="none"/>
          <w:lang w:eastAsia="zh-CN"/>
        </w:rPr>
        <w:t>）</w:t>
      </w:r>
      <w:r>
        <w:rPr>
          <w:rFonts w:hint="default" w:ascii="Times New Roman" w:hAnsi="Times New Roman" w:eastAsia="宋体" w:cs="Times New Roman"/>
          <w:highlight w:val="none"/>
          <w:lang w:eastAsia="zh-CN"/>
        </w:rPr>
        <w:t>事故原因</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r>
        <w:rPr>
          <w:rFonts w:hint="eastAsia" w:ascii="宋体" w:hAnsi="宋体" w:eastAsia="宋体" w:cs="宋体"/>
          <w:highlight w:val="none"/>
          <w:lang w:eastAsia="zh-CN"/>
        </w:rPr>
        <w:t>①</w:t>
      </w:r>
      <w:r>
        <w:rPr>
          <w:rFonts w:hint="default" w:ascii="Times New Roman" w:hAnsi="Times New Roman" w:eastAsia="宋体" w:cs="Times New Roman"/>
          <w:highlight w:val="none"/>
          <w:lang w:eastAsia="zh-CN"/>
        </w:rPr>
        <w:t>油料倒罐作业过程中，4名作业人员全部擅离职守，造成油罐大量溢油。</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t>②外溢的油料蒸发形成的油气沿地表扩散到车库，汽车发动形成点火源，引起火灾，并引发建在室内的油罐相继着火爆炸。</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r>
        <w:rPr>
          <w:rFonts w:hint="eastAsia" w:ascii="Times New Roman" w:hAnsi="Times New Roman" w:eastAsia="宋体" w:cs="Times New Roman"/>
          <w:highlight w:val="none"/>
          <w:lang w:eastAsia="zh-CN"/>
        </w:rPr>
        <w:t>（</w:t>
      </w:r>
      <w:r>
        <w:rPr>
          <w:rFonts w:hint="eastAsia" w:ascii="Times New Roman" w:hAnsi="Times New Roman" w:eastAsia="宋体" w:cs="Times New Roman"/>
          <w:highlight w:val="none"/>
          <w:lang w:val="en-US" w:eastAsia="zh-CN"/>
        </w:rPr>
        <w:t>3</w:t>
      </w:r>
      <w:r>
        <w:rPr>
          <w:rFonts w:hint="eastAsia" w:ascii="Times New Roman" w:hAnsi="Times New Roman" w:eastAsia="宋体" w:cs="Times New Roman"/>
          <w:highlight w:val="none"/>
          <w:lang w:eastAsia="zh-CN"/>
        </w:rPr>
        <w:t>）</w:t>
      </w:r>
      <w:r>
        <w:rPr>
          <w:rFonts w:hint="default" w:ascii="Times New Roman" w:hAnsi="Times New Roman" w:eastAsia="宋体" w:cs="Times New Roman"/>
          <w:highlight w:val="none"/>
          <w:lang w:eastAsia="zh-CN"/>
        </w:rPr>
        <w:t>事故教训</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r>
        <w:rPr>
          <w:rFonts w:hint="eastAsia" w:ascii="宋体" w:hAnsi="宋体" w:eastAsia="宋体" w:cs="宋体"/>
          <w:highlight w:val="none"/>
          <w:lang w:eastAsia="zh-CN"/>
        </w:rPr>
        <w:t>①</w:t>
      </w:r>
      <w:r>
        <w:rPr>
          <w:rFonts w:hint="default" w:ascii="Times New Roman" w:hAnsi="Times New Roman" w:eastAsia="宋体" w:cs="Times New Roman"/>
          <w:highlight w:val="none"/>
          <w:lang w:eastAsia="zh-CN"/>
        </w:rPr>
        <w:t>该库管理涣散，人员安全意识淡薄，倒罐作业组织不严密，分工不明确，作业过程中无领导值班或检查。4名作业人员根本没有把油料倒罐作业安全放在心上，既没有仔细检查液面上升情况，又不坚守岗位，导致溢油事故的发生。</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t>②根调查该库员工大部分未经培训，直接上岗，缺乏最基本的安全和消防常识，对油料易燃易爆特性和跑油等事故可能产生的危害和知之甚少。在溢油发生后，作业人员不会报警，不会采取措施控制现场和保护自己。如果此时能够处理得当，罐壁阀门，避免点火源出现，着火爆炸事故完全可以避免。因此，必须落实所有新入库职工（包括学徒工、外单位调入职工、合同工、代培人员和大专院校实习学生等）必须经入库安全教育，并经考核合格，方可进入生产岗位和学习这一规定。</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t>③该库设计不符合《石油库设计规范》要求，工艺不合理，无配套消防设施。8个油罐建在库房内，形成封闭式空间，极易造成油气的大量积聚，形成安全隐患。就在事故发生前3个月，当地消防部门在列行的消防安全大检查中，对其下达了停业整顿通知书，并罚单位和法人罚金。但该公司置若罔闻，未做任何整改，依旧作业，致使发生着火爆炸后，没有任何办法控制火情，错过了火灾初期灭火的最佳时机。</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highlight w:val="none"/>
          <w:lang w:eastAsia="zh-CN"/>
        </w:rPr>
      </w:pPr>
      <w:bookmarkStart w:id="52" w:name="_Toc3985"/>
      <w:r>
        <w:rPr>
          <w:rFonts w:hint="eastAsia" w:ascii="Times New Roman" w:hAnsi="Times New Roman" w:eastAsia="宋体" w:cs="Times New Roman"/>
          <w:highlight w:val="none"/>
          <w:lang w:val="en-US" w:eastAsia="zh-CN"/>
        </w:rPr>
        <w:t>2</w:t>
      </w:r>
      <w:r>
        <w:rPr>
          <w:rFonts w:hint="default" w:ascii="Times New Roman" w:hAnsi="Times New Roman" w:eastAsia="宋体" w:cs="Times New Roman"/>
          <w:highlight w:val="none"/>
          <w:lang w:eastAsia="zh-CN"/>
        </w:rPr>
        <w:t>、某石化助剂总厂柴油罐爆炸事故</w:t>
      </w:r>
      <w:bookmarkEnd w:id="52"/>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t>2000年7月2日，山东青州市潍坊弘润石油化工助剂总厂，因未堵盲板，违章动火焊接，造成2个500立方米油罐爆炸起火，10人死亡，部分操作室及管排、管架烧毁，直接经济损失200余万元。</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r>
        <w:rPr>
          <w:rFonts w:hint="eastAsia" w:ascii="Times New Roman" w:hAnsi="Times New Roman" w:eastAsia="宋体" w:cs="Times New Roman"/>
          <w:highlight w:val="none"/>
          <w:lang w:eastAsia="zh-CN"/>
        </w:rPr>
        <w:t>（</w:t>
      </w:r>
      <w:r>
        <w:rPr>
          <w:rFonts w:hint="eastAsia" w:ascii="Times New Roman" w:hAnsi="Times New Roman" w:eastAsia="宋体" w:cs="Times New Roman"/>
          <w:highlight w:val="none"/>
          <w:lang w:val="en-US" w:eastAsia="zh-CN"/>
        </w:rPr>
        <w:t>1</w:t>
      </w:r>
      <w:r>
        <w:rPr>
          <w:rFonts w:hint="eastAsia" w:ascii="Times New Roman" w:hAnsi="Times New Roman" w:eastAsia="宋体" w:cs="Times New Roman"/>
          <w:highlight w:val="none"/>
          <w:lang w:eastAsia="zh-CN"/>
        </w:rPr>
        <w:t>）</w:t>
      </w:r>
      <w:r>
        <w:rPr>
          <w:rFonts w:hint="default" w:ascii="Times New Roman" w:hAnsi="Times New Roman" w:eastAsia="宋体" w:cs="Times New Roman"/>
          <w:highlight w:val="none"/>
          <w:lang w:eastAsia="zh-CN"/>
        </w:rPr>
        <w:t>事故经过</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t>2000年7月1日，为解决柴油存放一段时间后，由棕黄色变为深灰色的质量问题，厂领导决定采用临淄某个体技术人员的脱色技术，在柴油罐间加活性剂罐、混合罐、管道泵，将307#罐、308#罐的柴油，经管道泵注入混合罐，同来自活性剂罐的活性剂混合脱色后，注入20#罐储存外销。分管生产的副厂长直接安排生产设备部牵头，由机动车间维修班负责焊接安装。整个作业采用先将混合罐、活性剂罐、管道泵定位后，再对接同柴油罐相连接的阀门、法兰、管道，现场进行焊接的方法。</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t>7月2日上午，己将混合罐、活性剂罐、管道泵定位，并同308#罐对连焊接完毕，下午继续进行同204d罐的对接。18时45分，在焊接同204#罐相接的管道时，发生爆炸，204#罐罐体炸飞，南移3.5米落下，罐内柴油飞溅着火，同时204#罐罐体飞起时，又将该罐同307#罐之间的管道从307#罐根部阀前撕断，307#罐中400余吨柴油从管口喷出着火，现场施工的10人突然被柴油烈火掩盖，瞬间即被烧死。307#罐在204#罐爆炸起火后45分钟再次发生爆炸，罐底焊缝撕开12米左右，罐内剩余柴油急速涌出。着火的柴油顺混凝土地面流至附近的10间操作室，操作室被烧毁;流至装置管排底部，管排管架被烧塌;流至厂区大门以外，将部分大树烧死。事故发生后，地市县及厂消防队及时赶到扑救，大火于20时45分被扑灭，没有造成罐区其他汽油、柴油罐的爆炸，避免了更大的损失。</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t>事故发生后，省地县有关领导到厂进行了指导，同时成立了事故调查小组，对事故发生的经过进行了调查分析，查清了事故发生的原因。</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r>
        <w:rPr>
          <w:rFonts w:hint="eastAsia" w:ascii="Times New Roman" w:hAnsi="Times New Roman" w:eastAsia="宋体" w:cs="Times New Roman"/>
          <w:highlight w:val="none"/>
          <w:lang w:eastAsia="zh-CN"/>
        </w:rPr>
        <w:t>（</w:t>
      </w:r>
      <w:r>
        <w:rPr>
          <w:rFonts w:hint="eastAsia" w:ascii="Times New Roman" w:hAnsi="Times New Roman" w:eastAsia="宋体" w:cs="Times New Roman"/>
          <w:highlight w:val="none"/>
          <w:lang w:val="en-US" w:eastAsia="zh-CN"/>
        </w:rPr>
        <w:t>2</w:t>
      </w:r>
      <w:r>
        <w:rPr>
          <w:rFonts w:hint="eastAsia" w:ascii="Times New Roman" w:hAnsi="Times New Roman" w:eastAsia="宋体" w:cs="Times New Roman"/>
          <w:highlight w:val="none"/>
          <w:lang w:eastAsia="zh-CN"/>
        </w:rPr>
        <w:t>）</w:t>
      </w:r>
      <w:r>
        <w:rPr>
          <w:rFonts w:hint="default" w:ascii="Times New Roman" w:hAnsi="Times New Roman" w:eastAsia="宋体" w:cs="Times New Roman"/>
          <w:highlight w:val="none"/>
          <w:lang w:eastAsia="zh-CN"/>
        </w:rPr>
        <w:t>事故原因</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r>
        <w:rPr>
          <w:rFonts w:hint="eastAsia" w:ascii="宋体" w:hAnsi="宋体" w:eastAsia="宋体" w:cs="宋体"/>
          <w:highlight w:val="none"/>
          <w:lang w:eastAsia="zh-CN"/>
        </w:rPr>
        <w:t>①</w:t>
      </w:r>
      <w:r>
        <w:rPr>
          <w:rFonts w:hint="default" w:ascii="Times New Roman" w:hAnsi="Times New Roman" w:eastAsia="宋体" w:cs="Times New Roman"/>
          <w:highlight w:val="none"/>
          <w:lang w:eastAsia="zh-CN"/>
        </w:rPr>
        <w:t>从事故现场看，有2台电焊机、接线及焊钳，有9根用后剩余的电焊条头及夹在焊钳上的整根焊条，说明事故发生前确实在进行焊接作业。</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t>经向曾在现场的职工了解，事故是在焊接同204#罐底部Dg80闸板阀对接的管道时发生的。而204#罐盛过柴油，但己长时间没用了，只偶尔当做生产中吹扫管道时的储气罐用。但在阀门以下，有24厘米深，约15平方米放不出来的柴油，而阀门以上无油，从而成为罐内柴油轻质馏分挥发的空间，挥发后的柴油轻组分与罐内的空气混合，形成爆炸性混合气体。经察看，204#柴油罐底部Dg80闸板阀阀瓣靠近罐体一侧，有明显的暗红色铁锈，仅在底部有一弦高10厘米左右的弯月形面，呈现高温后的蓝灰色，而阀瓣面向焊接的一侧，明显活动但留有间隙。因此，调查组认为，7月2日16时45分，维修班在电焊焊接时，204#罐内的爆炸性混合气体泄漏人正在焊接的管道内，电焊明火引起了管内气体的爆炸，从而通过Dg80闸板阀阀瓣底部的缝隙，引起了204#罐内混合气体的爆炸，这是事故发生的直接原因。</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r>
        <w:rPr>
          <w:rFonts w:hint="eastAsia" w:ascii="宋体" w:hAnsi="宋体" w:eastAsia="宋体" w:cs="宋体"/>
          <w:highlight w:val="none"/>
          <w:lang w:eastAsia="zh-CN"/>
        </w:rPr>
        <w:t>②</w:t>
      </w:r>
      <w:r>
        <w:rPr>
          <w:rFonts w:hint="default" w:ascii="Times New Roman" w:hAnsi="Times New Roman" w:eastAsia="宋体" w:cs="Times New Roman"/>
          <w:highlight w:val="none"/>
          <w:lang w:eastAsia="zh-CN"/>
        </w:rPr>
        <w:t>违章作业是事故发生的根本原因。该厂是地级市农委系统的直属小石油化工厂，无原油常减压蒸馏工段，只有催裂化润滑油工序，生产汽油、柴油、润滑油、液化气等产品，经济效益较好，年利税过亿元。但是，该厂缺乏生产管理，特别是缺乏安全技术管理人才，虽然参照其他石油化工厂的经验，制定了不少规章制度，但是制度执行不严，违章指挥、违章作业现象时有发生。如该次施工作业，按制度规定，成品油罐区为一类禁火区，要动火，必须经安全生产厂长、总工程师批准，安全处室专职安全人员、施工人员签字，办理一级动火证，制定严密的防范措施，有消防、安全、专职人员现场监督，确保不出事故方能动火作业。但该厂生产副厂长直接安排生产设备部和机动车间维修班施工，没有办理一级动火证，也没有通知总工程师、安保部、消防队审查施工方案及进行监督检查，失去了制止违章作业及采取防范措施防止事故发生的机会。另外，制度规定，动火作业必须同生产系统有效隔绝，而且专门制定了抽堵盲板的制度，但施工人员虽然制作了盲板，带到了现场，但没有使用，仅以关闭阀门代替插入盲板同油罐隔绝。但是，阀门关闭以后，虽然不漏油，但在使用过程中，因关闭不严，在阀体与阀瓣之间，会有一定间隙，特别是在有一定压力或温度差别时，阀门可能会漏气。因此上午焊接308#罐时，因308#罐盛满柴油，没有发生事故，而在下午焊接204#罐的管道时，因阀门间隙漏气引起油罐内混合气体的爆炸着火。</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r>
        <w:rPr>
          <w:rFonts w:hint="eastAsia" w:ascii="宋体" w:hAnsi="宋体" w:eastAsia="宋体" w:cs="宋体"/>
          <w:highlight w:val="none"/>
          <w:lang w:eastAsia="zh-CN"/>
        </w:rPr>
        <w:t>③</w:t>
      </w:r>
      <w:r>
        <w:rPr>
          <w:rFonts w:hint="default" w:ascii="Times New Roman" w:hAnsi="Times New Roman" w:eastAsia="宋体" w:cs="Times New Roman"/>
          <w:highlight w:val="none"/>
          <w:lang w:eastAsia="zh-CN"/>
        </w:rPr>
        <w:t>对柴油性质认识不足。柴油虽然不是易挥发的一级易燃易爆晶，但是，柴油是混合物，其中所含的介于汽油、柴油之间的轻沸点馏分，在夏季高温情况下，挥发积聚于油罐相对密封的上部空间，形成了爆炸性混合气体，遇明火造成了爆炸。</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r>
        <w:rPr>
          <w:rFonts w:hint="eastAsia" w:ascii="宋体" w:hAnsi="宋体" w:eastAsia="宋体" w:cs="宋体"/>
          <w:highlight w:val="none"/>
          <w:lang w:eastAsia="zh-CN"/>
        </w:rPr>
        <w:t>④</w:t>
      </w:r>
      <w:r>
        <w:rPr>
          <w:rFonts w:hint="default" w:ascii="Times New Roman" w:hAnsi="Times New Roman" w:eastAsia="宋体" w:cs="Times New Roman"/>
          <w:highlight w:val="none"/>
          <w:lang w:eastAsia="zh-CN"/>
        </w:rPr>
        <w:t>307#罐、204#罐原设计为消防用清水罐，位于成品罐区西防火堤外侧，当改为柴油储罐后，2罐周围没有再加防火堤，也没有设立明显的禁火标志，这也是造成施工人员未办理一级动火证违章施工的原因之一。</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r>
        <w:rPr>
          <w:rFonts w:hint="eastAsia" w:ascii="宋体" w:hAnsi="宋体" w:eastAsia="宋体" w:cs="宋体"/>
          <w:highlight w:val="none"/>
          <w:lang w:eastAsia="zh-CN"/>
        </w:rPr>
        <w:t>⑤</w:t>
      </w:r>
      <w:r>
        <w:rPr>
          <w:rFonts w:hint="default" w:ascii="Times New Roman" w:hAnsi="Times New Roman" w:eastAsia="宋体" w:cs="Times New Roman"/>
          <w:highlight w:val="none"/>
          <w:lang w:eastAsia="zh-CN"/>
        </w:rPr>
        <w:t>专职安全管理人员安全技术素质低，也是事故发生原因之一。据厂安全保卫部负责安全生产的副部长崔某介绍，他在巡回检查中，己发现了施工人员在一类禁火区动火作业，但他没有按规章制度制止他们的违章作业，只是在施工人员从车间办的二级动火证上签上自己的名字，代替厂一级动火证，使他们的违章作业合法化，但又没有按一级动火证要求提出防止事故的措施，导致了事故的发生。崔某作为这次重大伤亡事故的主要责任人被逮捕，追究刑事责任。</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t>通过上述案例可知，企业的各级领导及职工，一定要严格遵守安全规章制度，严禁违章作业，同时，要开展全员安全生产规章制度教育与安全生产技术知识教育，提高全体人员遵章守纪的自觉性;增强安全意识，提高安全技术水平与自我防护能力;关键管理岗位要选用有生产管理实践经验及安全技术管理经验、专业知识丰富、技术素质较高的同志，以适应工作的需要，关键时刻起到管理把关作用，防止事故的发生。</w:t>
      </w:r>
    </w:p>
    <w:p>
      <w:pPr>
        <w:pStyle w:val="22"/>
        <w:keepNext w:val="0"/>
        <w:keepLines w:val="0"/>
        <w:pageBreakBefore w:val="0"/>
        <w:widowControl w:val="0"/>
        <w:kinsoku/>
        <w:wordWrap/>
        <w:overflowPunct/>
        <w:topLinePunct w:val="0"/>
        <w:autoSpaceDE/>
        <w:autoSpaceDN/>
        <w:bidi w:val="0"/>
        <w:adjustRightInd/>
        <w:snapToGrid/>
        <w:spacing w:before="0" w:beforeLines="0" w:after="0" w:afterLines="0"/>
        <w:textAlignment w:val="auto"/>
        <w:outlineLvl w:val="1"/>
        <w:rPr>
          <w:rFonts w:hint="eastAsia" w:ascii="Times New Roman" w:hAnsi="Times New Roman" w:eastAsia="宋体" w:cs="Times New Roman"/>
          <w:lang w:eastAsia="zh-CN"/>
        </w:rPr>
      </w:pPr>
      <w:bookmarkStart w:id="53" w:name="_Toc24833"/>
      <w:r>
        <w:rPr>
          <w:rFonts w:hint="eastAsia" w:eastAsia="宋体" w:cs="Times New Roman"/>
          <w:lang w:val="en-US" w:eastAsia="zh-CN"/>
        </w:rPr>
        <w:t>4.</w:t>
      </w:r>
      <w:r>
        <w:rPr>
          <w:rFonts w:hint="eastAsia" w:ascii="Times New Roman" w:hAnsi="Times New Roman" w:eastAsia="宋体" w:cs="Times New Roman"/>
          <w:lang w:val="en-US" w:eastAsia="zh-CN"/>
        </w:rPr>
        <w:t>1</w:t>
      </w:r>
      <w:r>
        <w:rPr>
          <w:rFonts w:hint="default" w:ascii="Times New Roman" w:hAnsi="Times New Roman" w:eastAsia="宋体" w:cs="Times New Roman"/>
        </w:rPr>
        <w:t>.</w:t>
      </w:r>
      <w:r>
        <w:rPr>
          <w:rFonts w:hint="eastAsia" w:ascii="Times New Roman" w:hAnsi="Times New Roman" w:eastAsia="宋体" w:cs="Times New Roman"/>
          <w:lang w:val="en-US" w:eastAsia="zh-CN"/>
        </w:rPr>
        <w:t>2突发环境事故类型分析</w:t>
      </w:r>
      <w:bookmarkEnd w:id="5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Cs/>
          <w:sz w:val="24"/>
        </w:rPr>
      </w:pPr>
      <w:r>
        <w:rPr>
          <w:rFonts w:hint="eastAsia" w:ascii="宋体" w:hAnsi="宋体"/>
          <w:sz w:val="24"/>
        </w:rPr>
        <w:t>在生产过程中，由于工作人员“三违”、设备设施故障、自然灾害和不利的气象条件等因素，可能会发生泄漏、火灾、爆炸等安全事故，从而次生突发环境事件。可能引发突发环境事件的最坏情景分析详见</w:t>
      </w:r>
      <w:r>
        <w:rPr>
          <w:rFonts w:hint="eastAsia"/>
          <w:bCs/>
          <w:sz w:val="24"/>
        </w:rPr>
        <w:t>下表。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4"/>
          <w:szCs w:val="24"/>
        </w:rPr>
      </w:pPr>
      <w:r>
        <w:rPr>
          <w:rFonts w:hint="eastAsia"/>
          <w:b/>
          <w:bCs/>
          <w:sz w:val="24"/>
          <w:szCs w:val="24"/>
        </w:rPr>
        <w:t>表4</w:t>
      </w:r>
      <w:r>
        <w:rPr>
          <w:rFonts w:hint="eastAsia"/>
          <w:b/>
          <w:bCs/>
          <w:sz w:val="24"/>
          <w:szCs w:val="24"/>
          <w:lang w:val="en-US" w:eastAsia="zh-CN"/>
        </w:rPr>
        <w:t>.1</w:t>
      </w:r>
      <w:r>
        <w:rPr>
          <w:rFonts w:hint="eastAsia"/>
          <w:b/>
          <w:bCs/>
          <w:sz w:val="24"/>
          <w:szCs w:val="24"/>
        </w:rPr>
        <w:t>-</w:t>
      </w:r>
      <w:r>
        <w:rPr>
          <w:rFonts w:hint="eastAsia"/>
          <w:b/>
          <w:bCs/>
          <w:sz w:val="24"/>
          <w:szCs w:val="24"/>
          <w:lang w:val="en-US" w:eastAsia="zh-CN"/>
        </w:rPr>
        <w:t>1</w:t>
      </w:r>
      <w:r>
        <w:rPr>
          <w:rFonts w:hint="eastAsia"/>
          <w:b/>
          <w:bCs/>
          <w:sz w:val="24"/>
          <w:szCs w:val="24"/>
        </w:rPr>
        <w:t xml:space="preserve">  可能引发突发环境事件的最坏情景</w:t>
      </w:r>
    </w:p>
    <w:tbl>
      <w:tblPr>
        <w:tblStyle w:val="15"/>
        <w:tblW w:w="817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853"/>
        <w:gridCol w:w="675"/>
        <w:gridCol w:w="5415"/>
        <w:gridCol w:w="1236"/>
      </w:tblGrid>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1528" w:type="dxa"/>
            <w:gridSpan w:val="2"/>
            <w:tcBorders>
              <w:tl2br w:val="nil"/>
              <w:tr2bl w:val="nil"/>
            </w:tcBorders>
            <w:noWrap w:val="0"/>
            <w:vAlign w:val="center"/>
          </w:tcPr>
          <w:p>
            <w:pPr>
              <w:spacing w:line="480" w:lineRule="exact"/>
              <w:jc w:val="center"/>
              <w:rPr>
                <w:rFonts w:ascii="Times New Roman" w:hAnsi="Times New Roman"/>
                <w:b/>
                <w:sz w:val="21"/>
                <w:szCs w:val="21"/>
              </w:rPr>
            </w:pPr>
            <w:r>
              <w:rPr>
                <w:rFonts w:ascii="Times New Roman" w:hAnsi="Times New Roman"/>
                <w:b/>
                <w:sz w:val="21"/>
                <w:szCs w:val="21"/>
              </w:rPr>
              <w:t>环境事件原因</w:t>
            </w:r>
          </w:p>
        </w:tc>
        <w:tc>
          <w:tcPr>
            <w:tcW w:w="5415" w:type="dxa"/>
            <w:tcBorders>
              <w:tl2br w:val="nil"/>
              <w:tr2bl w:val="nil"/>
            </w:tcBorders>
            <w:noWrap w:val="0"/>
            <w:vAlign w:val="center"/>
          </w:tcPr>
          <w:p>
            <w:pPr>
              <w:spacing w:line="480" w:lineRule="exact"/>
              <w:jc w:val="center"/>
              <w:rPr>
                <w:rFonts w:ascii="Times New Roman" w:hAnsi="Times New Roman"/>
                <w:b/>
                <w:sz w:val="21"/>
                <w:szCs w:val="21"/>
              </w:rPr>
            </w:pPr>
            <w:r>
              <w:rPr>
                <w:rFonts w:ascii="Times New Roman" w:hAnsi="Times New Roman"/>
                <w:b/>
                <w:sz w:val="21"/>
                <w:szCs w:val="21"/>
              </w:rPr>
              <w:t>可能次生、衍生油站外环境污染</w:t>
            </w:r>
          </w:p>
        </w:tc>
        <w:tc>
          <w:tcPr>
            <w:tcW w:w="1236" w:type="dxa"/>
            <w:tcBorders>
              <w:tl2br w:val="nil"/>
              <w:tr2bl w:val="nil"/>
            </w:tcBorders>
            <w:noWrap w:val="0"/>
            <w:vAlign w:val="center"/>
          </w:tcPr>
          <w:p>
            <w:pPr>
              <w:jc w:val="center"/>
              <w:rPr>
                <w:rFonts w:ascii="Times New Roman" w:hAnsi="Times New Roman"/>
                <w:b/>
                <w:sz w:val="21"/>
                <w:szCs w:val="21"/>
              </w:rPr>
            </w:pPr>
            <w:r>
              <w:rPr>
                <w:rFonts w:ascii="Times New Roman" w:hAnsi="Times New Roman"/>
                <w:b/>
                <w:sz w:val="21"/>
                <w:szCs w:val="21"/>
              </w:rPr>
              <w:t>环境事件可能产生人员伤亡情况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853" w:type="dxa"/>
            <w:vMerge w:val="restar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安全事故</w:t>
            </w:r>
          </w:p>
        </w:tc>
        <w:tc>
          <w:tcPr>
            <w:tcW w:w="675" w:type="dxa"/>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泄漏</w:t>
            </w:r>
          </w:p>
        </w:tc>
        <w:tc>
          <w:tcPr>
            <w:tcW w:w="5415" w:type="dxa"/>
            <w:tcBorders>
              <w:tl2br w:val="nil"/>
              <w:tr2bl w:val="nil"/>
            </w:tcBorders>
            <w:noWrap w:val="0"/>
            <w:vAlign w:val="center"/>
          </w:tcPr>
          <w:p>
            <w:pPr>
              <w:rPr>
                <w:rFonts w:ascii="Times New Roman" w:hAnsi="Times New Roman"/>
                <w:sz w:val="21"/>
                <w:szCs w:val="21"/>
              </w:rPr>
            </w:pPr>
            <w:r>
              <w:rPr>
                <w:rFonts w:ascii="Times New Roman" w:hAnsi="Times New Roman"/>
                <w:sz w:val="21"/>
                <w:szCs w:val="21"/>
              </w:rPr>
              <w:t>（1）油罐破裂或围堰损坏等事故，汽油柴油流出油站边界或流入雨水沟，从雨水排口排出油站边界，进而污染土壤、地表水系。</w:t>
            </w:r>
          </w:p>
          <w:p>
            <w:pPr>
              <w:rPr>
                <w:rFonts w:ascii="Times New Roman" w:hAnsi="Times New Roman"/>
                <w:sz w:val="21"/>
                <w:szCs w:val="21"/>
              </w:rPr>
            </w:pPr>
            <w:r>
              <w:rPr>
                <w:rFonts w:ascii="Times New Roman" w:hAnsi="Times New Roman"/>
                <w:sz w:val="21"/>
                <w:szCs w:val="21"/>
              </w:rPr>
              <w:t>（2）废气扩散出油站边界污染大气。</w:t>
            </w:r>
          </w:p>
          <w:p>
            <w:pPr>
              <w:rPr>
                <w:rFonts w:ascii="Times New Roman" w:hAnsi="Times New Roman"/>
                <w:sz w:val="21"/>
                <w:szCs w:val="21"/>
              </w:rPr>
            </w:pPr>
            <w:r>
              <w:rPr>
                <w:rFonts w:ascii="Times New Roman" w:hAnsi="Times New Roman"/>
                <w:sz w:val="21"/>
                <w:szCs w:val="21"/>
              </w:rPr>
              <w:t>（3）废水泄漏污染土壤、地下水和地表水。</w:t>
            </w:r>
          </w:p>
        </w:tc>
        <w:tc>
          <w:tcPr>
            <w:tcW w:w="1236" w:type="dxa"/>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人员中毒死亡、受伤</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853" w:type="dxa"/>
            <w:vMerge w:val="continue"/>
            <w:tcBorders>
              <w:tl2br w:val="nil"/>
              <w:tr2bl w:val="nil"/>
            </w:tcBorders>
            <w:noWrap w:val="0"/>
            <w:vAlign w:val="center"/>
          </w:tcPr>
          <w:p>
            <w:pPr>
              <w:jc w:val="center"/>
              <w:rPr>
                <w:rFonts w:ascii="Times New Roman" w:hAnsi="Times New Roman"/>
                <w:sz w:val="21"/>
                <w:szCs w:val="21"/>
              </w:rPr>
            </w:pPr>
          </w:p>
        </w:tc>
        <w:tc>
          <w:tcPr>
            <w:tcW w:w="675" w:type="dxa"/>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火灾</w:t>
            </w:r>
          </w:p>
        </w:tc>
        <w:tc>
          <w:tcPr>
            <w:tcW w:w="5415" w:type="dxa"/>
            <w:tcBorders>
              <w:tl2br w:val="nil"/>
              <w:tr2bl w:val="nil"/>
            </w:tcBorders>
            <w:noWrap w:val="0"/>
            <w:vAlign w:val="center"/>
          </w:tcPr>
          <w:p>
            <w:pPr>
              <w:rPr>
                <w:rFonts w:ascii="Times New Roman" w:hAnsi="Times New Roman"/>
                <w:sz w:val="21"/>
                <w:szCs w:val="21"/>
              </w:rPr>
            </w:pPr>
            <w:r>
              <w:rPr>
                <w:rFonts w:ascii="Times New Roman" w:hAnsi="Times New Roman"/>
                <w:sz w:val="21"/>
                <w:szCs w:val="21"/>
              </w:rPr>
              <w:t>（1）消防水流出油站边界或流入雨水</w:t>
            </w:r>
            <w:r>
              <w:rPr>
                <w:rFonts w:hint="eastAsia" w:ascii="宋体" w:hAnsi="宋体"/>
                <w:sz w:val="21"/>
                <w:szCs w:val="21"/>
              </w:rPr>
              <w:t>沟</w:t>
            </w:r>
            <w:r>
              <w:rPr>
                <w:rFonts w:ascii="Times New Roman" w:hAnsi="Times New Roman"/>
                <w:sz w:val="21"/>
                <w:szCs w:val="21"/>
              </w:rPr>
              <w:t>，从雨水排口排出油站边界，进而污染土壤和地表水系；</w:t>
            </w:r>
          </w:p>
          <w:p>
            <w:pPr>
              <w:rPr>
                <w:rFonts w:ascii="Times New Roman" w:hAnsi="Times New Roman"/>
                <w:sz w:val="21"/>
                <w:szCs w:val="21"/>
              </w:rPr>
            </w:pPr>
            <w:r>
              <w:rPr>
                <w:rFonts w:ascii="Times New Roman" w:hAnsi="Times New Roman"/>
                <w:sz w:val="21"/>
                <w:szCs w:val="21"/>
              </w:rPr>
              <w:t>（2）燃烧产生的有毒有害气体扩散出油站边界污染大气。</w:t>
            </w:r>
          </w:p>
        </w:tc>
        <w:tc>
          <w:tcPr>
            <w:tcW w:w="1236" w:type="dxa"/>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人员中毒死亡、受伤</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853" w:type="dxa"/>
            <w:vMerge w:val="continue"/>
            <w:tcBorders>
              <w:tl2br w:val="nil"/>
              <w:tr2bl w:val="nil"/>
            </w:tcBorders>
            <w:noWrap w:val="0"/>
            <w:vAlign w:val="center"/>
          </w:tcPr>
          <w:p>
            <w:pPr>
              <w:jc w:val="center"/>
              <w:rPr>
                <w:rFonts w:ascii="Times New Roman" w:hAnsi="Times New Roman"/>
                <w:sz w:val="21"/>
                <w:szCs w:val="21"/>
              </w:rPr>
            </w:pPr>
          </w:p>
        </w:tc>
        <w:tc>
          <w:tcPr>
            <w:tcW w:w="675" w:type="dxa"/>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爆炸</w:t>
            </w:r>
          </w:p>
        </w:tc>
        <w:tc>
          <w:tcPr>
            <w:tcW w:w="5415" w:type="dxa"/>
            <w:tcBorders>
              <w:tl2br w:val="nil"/>
              <w:tr2bl w:val="nil"/>
            </w:tcBorders>
            <w:noWrap w:val="0"/>
            <w:vAlign w:val="center"/>
          </w:tcPr>
          <w:p>
            <w:pPr>
              <w:rPr>
                <w:rFonts w:ascii="Times New Roman" w:hAnsi="Times New Roman"/>
                <w:sz w:val="21"/>
                <w:szCs w:val="21"/>
              </w:rPr>
            </w:pPr>
            <w:r>
              <w:rPr>
                <w:rFonts w:ascii="Times New Roman" w:hAnsi="Times New Roman"/>
                <w:sz w:val="21"/>
                <w:szCs w:val="21"/>
              </w:rPr>
              <w:t>（1）爆炸后，化学物大量流出和救援中大量喷淋水流出油站边界或流入雨水</w:t>
            </w:r>
            <w:r>
              <w:rPr>
                <w:rFonts w:hint="eastAsia" w:ascii="宋体" w:hAnsi="宋体"/>
                <w:sz w:val="21"/>
                <w:szCs w:val="21"/>
              </w:rPr>
              <w:t>沟</w:t>
            </w:r>
            <w:r>
              <w:rPr>
                <w:rFonts w:ascii="Times New Roman" w:hAnsi="Times New Roman"/>
                <w:sz w:val="21"/>
                <w:szCs w:val="21"/>
              </w:rPr>
              <w:t>，从雨水排口排出油站边界，进而污染土壤和地表水系；</w:t>
            </w:r>
          </w:p>
          <w:p>
            <w:pPr>
              <w:rPr>
                <w:rFonts w:ascii="Times New Roman" w:hAnsi="Times New Roman"/>
                <w:sz w:val="21"/>
                <w:szCs w:val="21"/>
              </w:rPr>
            </w:pPr>
            <w:r>
              <w:rPr>
                <w:rFonts w:ascii="Times New Roman" w:hAnsi="Times New Roman"/>
                <w:sz w:val="21"/>
                <w:szCs w:val="21"/>
              </w:rPr>
              <w:t>（2）爆裂后，大量废气散发，扩散出油站边界污染大气。</w:t>
            </w:r>
          </w:p>
          <w:p>
            <w:pPr>
              <w:rPr>
                <w:rFonts w:ascii="Times New Roman" w:hAnsi="Times New Roman"/>
                <w:sz w:val="21"/>
                <w:szCs w:val="21"/>
              </w:rPr>
            </w:pPr>
            <w:r>
              <w:rPr>
                <w:rFonts w:ascii="Times New Roman" w:hAnsi="Times New Roman"/>
                <w:sz w:val="21"/>
                <w:szCs w:val="21"/>
              </w:rPr>
              <w:t>（3）爆炸后，大量消防废水扩散到土壤及水体环境中。</w:t>
            </w:r>
          </w:p>
        </w:tc>
        <w:tc>
          <w:tcPr>
            <w:tcW w:w="1236" w:type="dxa"/>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人员中毒死亡、受伤</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1528" w:type="dxa"/>
            <w:gridSpan w:val="2"/>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环境风险防控设备设施失灵或非正常操作</w:t>
            </w:r>
          </w:p>
        </w:tc>
        <w:tc>
          <w:tcPr>
            <w:tcW w:w="5415" w:type="dxa"/>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喷淋水、消防水流入雨水</w:t>
            </w:r>
            <w:r>
              <w:rPr>
                <w:rFonts w:hint="eastAsia" w:ascii="宋体" w:hAnsi="宋体"/>
                <w:sz w:val="21"/>
                <w:szCs w:val="21"/>
              </w:rPr>
              <w:t>沟</w:t>
            </w:r>
            <w:r>
              <w:rPr>
                <w:rFonts w:ascii="Times New Roman" w:hAnsi="Times New Roman"/>
                <w:sz w:val="21"/>
                <w:szCs w:val="21"/>
              </w:rPr>
              <w:t>，污染土壤和地表水系</w:t>
            </w:r>
            <w:r>
              <w:rPr>
                <w:rFonts w:hint="eastAsia" w:ascii="Times New Roman" w:hAnsi="Times New Roman"/>
                <w:sz w:val="21"/>
                <w:szCs w:val="21"/>
              </w:rPr>
              <w:t>。</w:t>
            </w:r>
          </w:p>
        </w:tc>
        <w:tc>
          <w:tcPr>
            <w:tcW w:w="1236" w:type="dxa"/>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人员死亡、受伤</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1528" w:type="dxa"/>
            <w:gridSpan w:val="2"/>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非正常工况</w:t>
            </w:r>
          </w:p>
        </w:tc>
        <w:tc>
          <w:tcPr>
            <w:tcW w:w="5415" w:type="dxa"/>
            <w:tcBorders>
              <w:tl2br w:val="nil"/>
              <w:tr2bl w:val="nil"/>
            </w:tcBorders>
            <w:noWrap w:val="0"/>
            <w:vAlign w:val="center"/>
          </w:tcPr>
          <w:p>
            <w:pPr>
              <w:rPr>
                <w:rFonts w:ascii="Times New Roman" w:hAnsi="Times New Roman"/>
                <w:sz w:val="21"/>
                <w:szCs w:val="21"/>
              </w:rPr>
            </w:pPr>
            <w:r>
              <w:rPr>
                <w:rFonts w:ascii="Times New Roman" w:hAnsi="Times New Roman"/>
                <w:sz w:val="21"/>
                <w:szCs w:val="21"/>
              </w:rPr>
              <w:t>（1）更换或修复管路系统零部件和设备维修前准备工作不充分，相关管道、阀门、清洗不彻底，或未按操作规程抽堵盲板，导致泄漏事故，可能引发油站外环境污染事件；</w:t>
            </w:r>
          </w:p>
          <w:p>
            <w:pPr>
              <w:rPr>
                <w:rFonts w:ascii="Times New Roman" w:hAnsi="Times New Roman"/>
                <w:sz w:val="21"/>
                <w:szCs w:val="21"/>
              </w:rPr>
            </w:pPr>
            <w:r>
              <w:rPr>
                <w:rFonts w:ascii="Times New Roman" w:hAnsi="Times New Roman"/>
                <w:sz w:val="21"/>
                <w:szCs w:val="21"/>
              </w:rPr>
              <w:t>（2）违规动火作业，发生火灾事故，可能次生油站外环境污染事件。</w:t>
            </w:r>
          </w:p>
        </w:tc>
        <w:tc>
          <w:tcPr>
            <w:tcW w:w="1236" w:type="dxa"/>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人员中毒死亡、受伤</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1528" w:type="dxa"/>
            <w:gridSpan w:val="2"/>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污染治理设施非正常运行</w:t>
            </w:r>
          </w:p>
        </w:tc>
        <w:tc>
          <w:tcPr>
            <w:tcW w:w="5415" w:type="dxa"/>
            <w:tcBorders>
              <w:tl2br w:val="nil"/>
              <w:tr2bl w:val="nil"/>
            </w:tcBorders>
            <w:noWrap w:val="0"/>
            <w:vAlign w:val="center"/>
          </w:tcPr>
          <w:p>
            <w:pPr>
              <w:numPr>
                <w:ilvl w:val="0"/>
                <w:numId w:val="2"/>
              </w:numPr>
              <w:rPr>
                <w:rFonts w:ascii="Times New Roman" w:hAnsi="Times New Roman"/>
                <w:sz w:val="21"/>
                <w:szCs w:val="21"/>
              </w:rPr>
            </w:pPr>
            <w:r>
              <w:rPr>
                <w:rFonts w:ascii="Times New Roman" w:hAnsi="Times New Roman"/>
                <w:sz w:val="21"/>
                <w:szCs w:val="21"/>
              </w:rPr>
              <w:t>废气处理装置不正常，废气扩散油站外，次生大气污染事件</w:t>
            </w:r>
            <w:r>
              <w:rPr>
                <w:rFonts w:hint="eastAsia" w:ascii="Times New Roman" w:hAnsi="Times New Roman"/>
                <w:sz w:val="21"/>
                <w:szCs w:val="21"/>
              </w:rPr>
              <w:t>；</w:t>
            </w:r>
          </w:p>
          <w:p>
            <w:pPr>
              <w:spacing w:line="236" w:lineRule="exact"/>
              <w:rPr>
                <w:rFonts w:ascii="Times New Roman" w:hAnsi="Times New Roman"/>
                <w:sz w:val="21"/>
                <w:szCs w:val="21"/>
              </w:rPr>
            </w:pPr>
            <w:r>
              <w:rPr>
                <w:rFonts w:ascii="Times New Roman" w:hAnsi="Times New Roman"/>
                <w:sz w:val="21"/>
                <w:szCs w:val="21"/>
              </w:rPr>
              <w:t>（2）无法关闭排水阀门或未进行有效封堵，事故废水污染油站外水环境；</w:t>
            </w:r>
          </w:p>
          <w:p>
            <w:pPr>
              <w:rPr>
                <w:rFonts w:ascii="Times New Roman" w:hAnsi="Times New Roman"/>
                <w:sz w:val="21"/>
                <w:szCs w:val="21"/>
              </w:rPr>
            </w:pPr>
            <w:r>
              <w:rPr>
                <w:rFonts w:ascii="Times New Roman" w:hAnsi="Times New Roman"/>
                <w:sz w:val="21"/>
                <w:szCs w:val="21"/>
              </w:rPr>
              <w:t>（3）未将事故废水引入收集池，或废水导液沟和输送管道堵塞，废水流淌出油站边界，污染油站外土壤和水体</w:t>
            </w:r>
            <w:r>
              <w:rPr>
                <w:rFonts w:hint="eastAsia" w:ascii="Times New Roman" w:hAnsi="Times New Roman"/>
                <w:sz w:val="21"/>
                <w:szCs w:val="21"/>
              </w:rPr>
              <w:t>。</w:t>
            </w:r>
          </w:p>
        </w:tc>
        <w:tc>
          <w:tcPr>
            <w:tcW w:w="1236" w:type="dxa"/>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人员中毒死亡、受伤</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574" w:hRule="atLeast"/>
          <w:jc w:val="center"/>
        </w:trPr>
        <w:tc>
          <w:tcPr>
            <w:tcW w:w="1528" w:type="dxa"/>
            <w:gridSpan w:val="2"/>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违法排污</w:t>
            </w:r>
          </w:p>
        </w:tc>
        <w:tc>
          <w:tcPr>
            <w:tcW w:w="5415" w:type="dxa"/>
            <w:tcBorders>
              <w:tl2br w:val="nil"/>
              <w:tr2bl w:val="nil"/>
            </w:tcBorders>
            <w:noWrap w:val="0"/>
            <w:vAlign w:val="center"/>
          </w:tcPr>
          <w:p>
            <w:pPr>
              <w:numPr>
                <w:ilvl w:val="0"/>
                <w:numId w:val="3"/>
              </w:numPr>
              <w:spacing w:line="236" w:lineRule="exact"/>
              <w:rPr>
                <w:rFonts w:ascii="Times New Roman" w:hAnsi="Times New Roman"/>
                <w:sz w:val="21"/>
                <w:szCs w:val="21"/>
              </w:rPr>
            </w:pPr>
            <w:r>
              <w:rPr>
                <w:rFonts w:ascii="Times New Roman" w:hAnsi="Times New Roman"/>
                <w:sz w:val="21"/>
                <w:szCs w:val="21"/>
              </w:rPr>
              <w:t>事故发散的废气未进行处理，有机废气扩散，污染油站外大气；</w:t>
            </w:r>
          </w:p>
          <w:p>
            <w:pPr>
              <w:spacing w:line="236" w:lineRule="exact"/>
              <w:rPr>
                <w:rFonts w:ascii="Times New Roman" w:hAnsi="Times New Roman"/>
                <w:sz w:val="21"/>
                <w:szCs w:val="21"/>
              </w:rPr>
            </w:pPr>
            <w:r>
              <w:rPr>
                <w:rFonts w:ascii="Times New Roman" w:hAnsi="Times New Roman"/>
                <w:sz w:val="21"/>
                <w:szCs w:val="21"/>
              </w:rPr>
              <w:t>（2）未对事故废水进行收集和处理就将废水排入雨水</w:t>
            </w:r>
            <w:r>
              <w:rPr>
                <w:rFonts w:hint="eastAsia" w:ascii="宋体" w:hAnsi="宋体"/>
                <w:sz w:val="21"/>
                <w:szCs w:val="21"/>
              </w:rPr>
              <w:t>沟</w:t>
            </w:r>
            <w:r>
              <w:rPr>
                <w:rFonts w:ascii="Times New Roman" w:hAnsi="Times New Roman"/>
                <w:sz w:val="21"/>
                <w:szCs w:val="21"/>
              </w:rPr>
              <w:t>，流出油站边界，污染油站外土壤和水体</w:t>
            </w:r>
            <w:r>
              <w:rPr>
                <w:rFonts w:hint="eastAsia" w:ascii="Times New Roman" w:hAnsi="Times New Roman"/>
                <w:sz w:val="21"/>
                <w:szCs w:val="21"/>
              </w:rPr>
              <w:t>。</w:t>
            </w:r>
          </w:p>
        </w:tc>
        <w:tc>
          <w:tcPr>
            <w:tcW w:w="1236" w:type="dxa"/>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人员中毒死亡、受伤</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1528" w:type="dxa"/>
            <w:gridSpan w:val="2"/>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停电、断水等公用工程事故</w:t>
            </w:r>
          </w:p>
        </w:tc>
        <w:tc>
          <w:tcPr>
            <w:tcW w:w="5415" w:type="dxa"/>
            <w:tcBorders>
              <w:tl2br w:val="nil"/>
              <w:tr2bl w:val="nil"/>
            </w:tcBorders>
            <w:noWrap w:val="0"/>
            <w:vAlign w:val="center"/>
          </w:tcPr>
          <w:p>
            <w:pPr>
              <w:rPr>
                <w:rFonts w:ascii="Times New Roman" w:hAnsi="Times New Roman"/>
                <w:sz w:val="21"/>
                <w:szCs w:val="21"/>
              </w:rPr>
            </w:pPr>
            <w:r>
              <w:rPr>
                <w:rFonts w:ascii="Times New Roman" w:hAnsi="Times New Roman"/>
                <w:sz w:val="21"/>
                <w:szCs w:val="21"/>
              </w:rPr>
              <w:t>（1）发生泄漏、火灾等安全事故时如突发停电事故，现场应急救援的电动设备设施无法运行，使应急救援不能有效实施，事故未能及时控制，有可能次生油站外环境污染事件；</w:t>
            </w:r>
          </w:p>
          <w:p>
            <w:pPr>
              <w:rPr>
                <w:rFonts w:ascii="Times New Roman" w:hAnsi="Times New Roman"/>
                <w:sz w:val="21"/>
                <w:szCs w:val="21"/>
              </w:rPr>
            </w:pPr>
            <w:r>
              <w:rPr>
                <w:rFonts w:ascii="Times New Roman" w:hAnsi="Times New Roman"/>
                <w:sz w:val="21"/>
                <w:szCs w:val="21"/>
              </w:rPr>
              <w:t>（2）发生泄漏、火灾等安全事故应急救援时断水，不能进行灭火，事故蔓延，次生油站外环境污染事件。</w:t>
            </w:r>
          </w:p>
        </w:tc>
        <w:tc>
          <w:tcPr>
            <w:tcW w:w="1236" w:type="dxa"/>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人员中毒死亡、受伤</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90" w:hRule="atLeast"/>
          <w:jc w:val="center"/>
        </w:trPr>
        <w:tc>
          <w:tcPr>
            <w:tcW w:w="1528" w:type="dxa"/>
            <w:gridSpan w:val="2"/>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通讯或运输系统故障</w:t>
            </w:r>
          </w:p>
        </w:tc>
        <w:tc>
          <w:tcPr>
            <w:tcW w:w="5415" w:type="dxa"/>
            <w:tcBorders>
              <w:tl2br w:val="nil"/>
              <w:tr2bl w:val="nil"/>
            </w:tcBorders>
            <w:noWrap w:val="0"/>
            <w:vAlign w:val="top"/>
          </w:tcPr>
          <w:p>
            <w:pPr>
              <w:rPr>
                <w:rFonts w:ascii="Times New Roman" w:hAnsi="Times New Roman"/>
                <w:sz w:val="21"/>
                <w:szCs w:val="21"/>
              </w:rPr>
            </w:pPr>
            <w:r>
              <w:rPr>
                <w:rFonts w:ascii="Times New Roman" w:hAnsi="Times New Roman"/>
                <w:sz w:val="21"/>
                <w:szCs w:val="21"/>
              </w:rPr>
              <w:t>（1）发生事故时，通讯系统故障，无法通讯联络和向有关部门报告，延误应急救援，事故扩大，次生油站外环境污染事件；</w:t>
            </w:r>
          </w:p>
          <w:p>
            <w:pPr>
              <w:rPr>
                <w:rFonts w:ascii="Times New Roman" w:hAnsi="Times New Roman"/>
                <w:sz w:val="21"/>
                <w:szCs w:val="21"/>
              </w:rPr>
            </w:pPr>
            <w:r>
              <w:rPr>
                <w:rFonts w:ascii="Times New Roman" w:hAnsi="Times New Roman"/>
                <w:sz w:val="21"/>
                <w:szCs w:val="21"/>
              </w:rPr>
              <w:t>（2）发生事故时，企业内外道路受阻，救援队伍、设备设施、器材、物资无法及时到位，事故未能及时控制，次生油站外环境污染事件。</w:t>
            </w:r>
          </w:p>
        </w:tc>
        <w:tc>
          <w:tcPr>
            <w:tcW w:w="1236" w:type="dxa"/>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人员中毒死亡、受伤</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783" w:hRule="atLeast"/>
          <w:jc w:val="center"/>
        </w:trPr>
        <w:tc>
          <w:tcPr>
            <w:tcW w:w="1528" w:type="dxa"/>
            <w:gridSpan w:val="2"/>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各种自然灾害、极端天气或不利气象条件</w:t>
            </w:r>
          </w:p>
        </w:tc>
        <w:tc>
          <w:tcPr>
            <w:tcW w:w="5415" w:type="dxa"/>
            <w:tcBorders>
              <w:tl2br w:val="nil"/>
              <w:tr2bl w:val="nil"/>
            </w:tcBorders>
            <w:noWrap w:val="0"/>
            <w:vAlign w:val="top"/>
          </w:tcPr>
          <w:p>
            <w:pPr>
              <w:rPr>
                <w:rFonts w:ascii="Times New Roman" w:hAnsi="Times New Roman"/>
                <w:sz w:val="21"/>
                <w:szCs w:val="21"/>
              </w:rPr>
            </w:pPr>
            <w:r>
              <w:rPr>
                <w:rFonts w:ascii="Times New Roman" w:hAnsi="Times New Roman"/>
                <w:sz w:val="21"/>
                <w:szCs w:val="21"/>
              </w:rPr>
              <w:t>自然灾害、极端天气或不利气象条件，会引发安全事故，从而次生油站外环境污染事件。</w:t>
            </w:r>
          </w:p>
          <w:p>
            <w:pPr>
              <w:rPr>
                <w:rFonts w:ascii="Times New Roman" w:hAnsi="Times New Roman"/>
                <w:sz w:val="21"/>
                <w:szCs w:val="21"/>
              </w:rPr>
            </w:pPr>
            <w:r>
              <w:rPr>
                <w:rFonts w:ascii="Times New Roman" w:hAnsi="Times New Roman"/>
                <w:sz w:val="21"/>
                <w:szCs w:val="21"/>
              </w:rPr>
              <w:t>（1）发生地震，可能使输送管线断裂，发生泄漏事故，可次生油站外环境污染事件；</w:t>
            </w:r>
          </w:p>
          <w:p>
            <w:pPr>
              <w:rPr>
                <w:rFonts w:ascii="Times New Roman" w:hAnsi="Times New Roman"/>
                <w:sz w:val="21"/>
                <w:szCs w:val="21"/>
              </w:rPr>
            </w:pPr>
            <w:r>
              <w:rPr>
                <w:rFonts w:ascii="Times New Roman" w:hAnsi="Times New Roman"/>
                <w:sz w:val="21"/>
                <w:szCs w:val="21"/>
              </w:rPr>
              <w:t>（2）高处坠物，砸坏阀门和管线，泄漏，次生油站外环境污染事件；</w:t>
            </w:r>
          </w:p>
          <w:p>
            <w:pPr>
              <w:rPr>
                <w:rFonts w:ascii="Times New Roman" w:hAnsi="Times New Roman"/>
                <w:sz w:val="21"/>
                <w:szCs w:val="21"/>
              </w:rPr>
            </w:pPr>
            <w:r>
              <w:rPr>
                <w:rFonts w:ascii="Times New Roman" w:hAnsi="Times New Roman"/>
                <w:sz w:val="21"/>
                <w:szCs w:val="21"/>
              </w:rPr>
              <w:t>（</w:t>
            </w:r>
            <w:r>
              <w:rPr>
                <w:rFonts w:hint="eastAsia" w:ascii="Times New Roman" w:hAnsi="Times New Roman"/>
                <w:sz w:val="21"/>
                <w:szCs w:val="21"/>
              </w:rPr>
              <w:t>3</w:t>
            </w:r>
            <w:r>
              <w:rPr>
                <w:rFonts w:ascii="Times New Roman" w:hAnsi="Times New Roman"/>
                <w:sz w:val="21"/>
                <w:szCs w:val="21"/>
              </w:rPr>
              <w:t>）暴雨期间，发生泄漏，泄漏物溶入雨水，随雨水流入管网，次生油站外地表水体污染事件；</w:t>
            </w:r>
          </w:p>
          <w:p>
            <w:pPr>
              <w:rPr>
                <w:rFonts w:ascii="Times New Roman" w:hAnsi="Times New Roman"/>
                <w:sz w:val="21"/>
                <w:szCs w:val="21"/>
              </w:rPr>
            </w:pPr>
            <w:r>
              <w:rPr>
                <w:rFonts w:ascii="Times New Roman" w:hAnsi="Times New Roman"/>
                <w:sz w:val="21"/>
                <w:szCs w:val="21"/>
              </w:rPr>
              <w:t>（</w:t>
            </w:r>
            <w:r>
              <w:rPr>
                <w:rFonts w:hint="eastAsia" w:ascii="Times New Roman" w:hAnsi="Times New Roman"/>
                <w:sz w:val="21"/>
                <w:szCs w:val="21"/>
              </w:rPr>
              <w:t>4</w:t>
            </w:r>
            <w:r>
              <w:rPr>
                <w:rFonts w:ascii="Times New Roman" w:hAnsi="Times New Roman"/>
                <w:sz w:val="21"/>
                <w:szCs w:val="21"/>
              </w:rPr>
              <w:t>）洪涝期间，发生泄漏，泄漏物溶入洪水，随洪水流出油站边界，次生土壤和地表水体污染事件；</w:t>
            </w:r>
          </w:p>
          <w:p>
            <w:pPr>
              <w:rPr>
                <w:rFonts w:ascii="Times New Roman" w:hAnsi="Times New Roman"/>
                <w:sz w:val="21"/>
                <w:szCs w:val="21"/>
              </w:rPr>
            </w:pPr>
            <w:r>
              <w:rPr>
                <w:rFonts w:ascii="Times New Roman" w:hAnsi="Times New Roman"/>
                <w:sz w:val="21"/>
                <w:szCs w:val="21"/>
              </w:rPr>
              <w:t>（</w:t>
            </w:r>
            <w:r>
              <w:rPr>
                <w:rFonts w:hint="eastAsia" w:ascii="Times New Roman" w:hAnsi="Times New Roman"/>
                <w:sz w:val="21"/>
                <w:szCs w:val="21"/>
              </w:rPr>
              <w:t>5</w:t>
            </w:r>
            <w:r>
              <w:rPr>
                <w:rFonts w:ascii="Times New Roman" w:hAnsi="Times New Roman"/>
                <w:sz w:val="21"/>
                <w:szCs w:val="21"/>
              </w:rPr>
              <w:t>）高温天气，管线爆裂，原料泄漏，易引发火灾，并次生油站外环境污染事件；</w:t>
            </w:r>
          </w:p>
          <w:p>
            <w:pPr>
              <w:rPr>
                <w:rFonts w:ascii="Times New Roman" w:hAnsi="Times New Roman"/>
                <w:sz w:val="21"/>
                <w:szCs w:val="21"/>
              </w:rPr>
            </w:pPr>
            <w:r>
              <w:rPr>
                <w:rFonts w:ascii="Times New Roman" w:hAnsi="Times New Roman"/>
                <w:sz w:val="21"/>
                <w:szCs w:val="21"/>
              </w:rPr>
              <w:t>（</w:t>
            </w:r>
            <w:r>
              <w:rPr>
                <w:rFonts w:hint="eastAsia" w:ascii="Times New Roman" w:hAnsi="Times New Roman"/>
                <w:sz w:val="21"/>
                <w:szCs w:val="21"/>
              </w:rPr>
              <w:t>6</w:t>
            </w:r>
            <w:r>
              <w:rPr>
                <w:rFonts w:ascii="Times New Roman" w:hAnsi="Times New Roman"/>
                <w:sz w:val="21"/>
                <w:szCs w:val="21"/>
              </w:rPr>
              <w:t>）严寒天气，管线保暖措施不到位，管线冻裂，原料泄漏，次生油站外环境污染事件。</w:t>
            </w:r>
          </w:p>
        </w:tc>
        <w:tc>
          <w:tcPr>
            <w:tcW w:w="1236" w:type="dxa"/>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人员中毒死亡、受伤</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524" w:hRule="atLeast"/>
          <w:jc w:val="center"/>
        </w:trPr>
        <w:tc>
          <w:tcPr>
            <w:tcW w:w="1528" w:type="dxa"/>
            <w:gridSpan w:val="2"/>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其他可能的情景</w:t>
            </w:r>
          </w:p>
        </w:tc>
        <w:tc>
          <w:tcPr>
            <w:tcW w:w="5415" w:type="dxa"/>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w:t>
            </w:r>
          </w:p>
        </w:tc>
        <w:tc>
          <w:tcPr>
            <w:tcW w:w="1236" w:type="dxa"/>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w:t>
            </w:r>
          </w:p>
        </w:tc>
      </w:tr>
    </w:tbl>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p>
    <w:p>
      <w:pPr>
        <w:pStyle w:val="21"/>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outlineLvl w:val="0"/>
        <w:rPr>
          <w:rFonts w:hint="default" w:ascii="Times New Roman" w:hAnsi="Times New Roman" w:eastAsia="宋体" w:cs="Times New Roman"/>
          <w:sz w:val="30"/>
          <w:szCs w:val="30"/>
        </w:rPr>
      </w:pPr>
      <w:bookmarkStart w:id="54" w:name="_Toc20654"/>
      <w:r>
        <w:rPr>
          <w:rFonts w:hint="eastAsia" w:eastAsia="宋体" w:cs="Times New Roman"/>
          <w:sz w:val="30"/>
          <w:szCs w:val="30"/>
          <w:lang w:val="en-US" w:eastAsia="zh-CN"/>
        </w:rPr>
        <w:t>4</w:t>
      </w:r>
      <w:r>
        <w:rPr>
          <w:rFonts w:hint="default" w:ascii="Times New Roman" w:hAnsi="Times New Roman" w:eastAsia="宋体" w:cs="Times New Roman"/>
          <w:sz w:val="30"/>
          <w:szCs w:val="30"/>
        </w:rPr>
        <w:t>.</w:t>
      </w:r>
      <w:r>
        <w:rPr>
          <w:rFonts w:hint="eastAsia" w:ascii="Times New Roman" w:hAnsi="Times New Roman" w:eastAsia="宋体" w:cs="Times New Roman"/>
          <w:sz w:val="30"/>
          <w:szCs w:val="30"/>
          <w:lang w:val="en-US" w:eastAsia="zh-CN"/>
        </w:rPr>
        <w:t>2突发环境事件情景源强分析</w:t>
      </w:r>
      <w:bookmarkEnd w:id="54"/>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rPr>
      </w:pPr>
      <w:r>
        <w:rPr>
          <w:rFonts w:hint="default" w:ascii="Times New Roman" w:hAnsi="Times New Roman" w:eastAsia="宋体" w:cs="Times New Roman"/>
        </w:rPr>
        <w:t>根据《企业突发环境事件风险评估指南（试行）》中适用范围，本次评估将针对厂区油罐火灾爆炸及火灾后产生有毒有害物质（CO及SO</w:t>
      </w:r>
      <w:r>
        <w:rPr>
          <w:rFonts w:hint="default" w:ascii="Times New Roman" w:hAnsi="Times New Roman" w:eastAsia="宋体" w:cs="Times New Roman"/>
          <w:vertAlign w:val="subscript"/>
        </w:rPr>
        <w:t>2</w:t>
      </w:r>
      <w:r>
        <w:rPr>
          <w:rFonts w:hint="default" w:ascii="Times New Roman" w:hAnsi="Times New Roman" w:eastAsia="宋体" w:cs="Times New Roman"/>
        </w:rPr>
        <w:t>）、油罐泄漏、污染治理设施异常等进行突发环境事件影响分析。</w:t>
      </w:r>
    </w:p>
    <w:p>
      <w:pPr>
        <w:pStyle w:val="22"/>
        <w:keepNext w:val="0"/>
        <w:keepLines w:val="0"/>
        <w:pageBreakBefore w:val="0"/>
        <w:widowControl w:val="0"/>
        <w:kinsoku/>
        <w:wordWrap/>
        <w:overflowPunct/>
        <w:topLinePunct w:val="0"/>
        <w:autoSpaceDE/>
        <w:autoSpaceDN/>
        <w:bidi w:val="0"/>
        <w:adjustRightInd/>
        <w:snapToGrid/>
        <w:spacing w:before="0" w:beforeLines="0" w:after="0" w:afterLines="0"/>
        <w:textAlignment w:val="auto"/>
        <w:outlineLvl w:val="1"/>
        <w:rPr>
          <w:rFonts w:hint="eastAsia" w:ascii="Times New Roman" w:hAnsi="Times New Roman" w:eastAsia="宋体" w:cs="Times New Roman"/>
          <w:lang w:eastAsia="zh-CN"/>
        </w:rPr>
      </w:pPr>
      <w:bookmarkStart w:id="55" w:name="_Toc12511"/>
      <w:r>
        <w:rPr>
          <w:rFonts w:hint="eastAsia" w:eastAsia="宋体" w:cs="Times New Roman"/>
          <w:lang w:val="en-US" w:eastAsia="zh-CN"/>
        </w:rPr>
        <w:t>4.</w:t>
      </w:r>
      <w:r>
        <w:rPr>
          <w:rFonts w:hint="eastAsia" w:ascii="Times New Roman" w:hAnsi="Times New Roman" w:eastAsia="宋体" w:cs="Times New Roman"/>
          <w:lang w:val="en-US" w:eastAsia="zh-CN"/>
        </w:rPr>
        <w:t>2.1火灾爆炸事故设定</w:t>
      </w:r>
      <w:bookmarkEnd w:id="55"/>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rPr>
      </w:pPr>
      <w:bookmarkStart w:id="56" w:name="_Toc12562"/>
      <w:r>
        <w:rPr>
          <w:rFonts w:hint="default" w:ascii="Times New Roman" w:hAnsi="Times New Roman" w:eastAsia="宋体" w:cs="Times New Roman"/>
          <w:lang w:val="en-US" w:eastAsia="zh-CN"/>
        </w:rPr>
        <w:t>1、</w:t>
      </w:r>
      <w:r>
        <w:rPr>
          <w:rFonts w:hint="default" w:ascii="Times New Roman" w:hAnsi="Times New Roman" w:eastAsia="宋体" w:cs="Times New Roman"/>
        </w:rPr>
        <w:t>火灾爆炸事故源强</w:t>
      </w:r>
      <w:bookmarkEnd w:id="56"/>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企业储存的成品油属于易燃易爆物质，企业柴油储罐规模最大为</w:t>
      </w:r>
      <w:r>
        <w:rPr>
          <w:rFonts w:hint="eastAsia" w:cs="Times New Roman"/>
          <w:lang w:val="en-US" w:eastAsia="zh-CN"/>
        </w:rPr>
        <w:t>100000</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，汽油储罐规模最大为</w:t>
      </w:r>
      <w:r>
        <w:rPr>
          <w:rFonts w:hint="eastAsia" w:cs="Times New Roman"/>
          <w:lang w:val="en-US" w:eastAsia="zh-CN"/>
        </w:rPr>
        <w:t>90000</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，主要考虑柴油和富汽储罐发生火灾爆炸情形，具体预测参数见表</w:t>
      </w:r>
      <w:r>
        <w:rPr>
          <w:rFonts w:hint="default" w:ascii="Times New Roman" w:hAnsi="Times New Roman" w:eastAsia="宋体" w:cs="Times New Roman"/>
          <w:lang w:val="en-US" w:eastAsia="zh-CN"/>
        </w:rPr>
        <w:t>4</w:t>
      </w:r>
      <w:r>
        <w:rPr>
          <w:rFonts w:hint="default" w:ascii="Times New Roman" w:hAnsi="Times New Roman" w:eastAsia="宋体" w:cs="Times New Roman"/>
        </w:rPr>
        <w:t>.2-1。</w:t>
      </w:r>
    </w:p>
    <w:p>
      <w:pPr>
        <w:spacing w:line="360" w:lineRule="auto"/>
        <w:ind w:firstLine="482" w:firstLineChars="200"/>
        <w:jc w:val="center"/>
        <w:rPr>
          <w:rFonts w:hint="eastAsia"/>
          <w:b/>
          <w:bCs/>
          <w:sz w:val="24"/>
          <w:szCs w:val="24"/>
        </w:rPr>
      </w:pPr>
      <w:r>
        <w:rPr>
          <w:rFonts w:hint="eastAsia"/>
          <w:b/>
          <w:bCs/>
          <w:sz w:val="24"/>
          <w:szCs w:val="24"/>
        </w:rPr>
        <w:t>表4</w:t>
      </w:r>
      <w:r>
        <w:rPr>
          <w:rFonts w:hint="eastAsia"/>
          <w:b/>
          <w:bCs/>
          <w:sz w:val="24"/>
          <w:szCs w:val="24"/>
          <w:lang w:val="en-US" w:eastAsia="zh-CN"/>
        </w:rPr>
        <w:t>.2</w:t>
      </w:r>
      <w:r>
        <w:rPr>
          <w:rFonts w:hint="eastAsia"/>
          <w:b/>
          <w:bCs/>
          <w:sz w:val="24"/>
          <w:szCs w:val="24"/>
        </w:rPr>
        <w:t>-</w:t>
      </w:r>
      <w:r>
        <w:rPr>
          <w:rFonts w:hint="eastAsia"/>
          <w:b/>
          <w:bCs/>
          <w:sz w:val="24"/>
          <w:szCs w:val="24"/>
          <w:lang w:val="en-US" w:eastAsia="zh-CN"/>
        </w:rPr>
        <w:t>1</w:t>
      </w:r>
      <w:r>
        <w:rPr>
          <w:rFonts w:hint="eastAsia"/>
          <w:b/>
          <w:bCs/>
          <w:sz w:val="24"/>
          <w:szCs w:val="24"/>
        </w:rPr>
        <w:t xml:space="preserve">  火灾爆炸事故计算参数一览表</w:t>
      </w:r>
    </w:p>
    <w:tbl>
      <w:tblPr>
        <w:tblStyle w:val="15"/>
        <w:tblW w:w="493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423"/>
        <w:gridCol w:w="1260"/>
        <w:gridCol w:w="2189"/>
        <w:gridCol w:w="18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013" w:type="pct"/>
            <w:tcBorders>
              <w:bottom w:val="single" w:color="auto" w:sz="6" w:space="0"/>
              <w:right w:val="single" w:color="auto" w:sz="6" w:space="0"/>
            </w:tcBorders>
            <w:shd w:val="clear" w:color="auto" w:fill="auto"/>
            <w:noWrap w:val="0"/>
            <w:vAlign w:val="center"/>
          </w:tcPr>
          <w:p>
            <w:pPr>
              <w:pStyle w:val="26"/>
              <w:rPr>
                <w:rFonts w:hint="default" w:ascii="Times New Roman" w:hAnsi="Times New Roman" w:eastAsia="宋体" w:cs="Times New Roman"/>
                <w:sz w:val="21"/>
                <w:szCs w:val="21"/>
              </w:rPr>
            </w:pPr>
            <w:bookmarkStart w:id="57" w:name="_Toc461992354"/>
            <w:r>
              <w:rPr>
                <w:rFonts w:hint="default" w:ascii="Times New Roman" w:hAnsi="Times New Roman" w:eastAsia="宋体" w:cs="Times New Roman"/>
                <w:sz w:val="21"/>
                <w:szCs w:val="21"/>
              </w:rPr>
              <w:t>事故源</w:t>
            </w:r>
            <w:bookmarkEnd w:id="57"/>
          </w:p>
        </w:tc>
        <w:tc>
          <w:tcPr>
            <w:tcW w:w="846" w:type="pct"/>
            <w:tcBorders>
              <w:left w:val="single" w:color="auto" w:sz="6" w:space="0"/>
              <w:bottom w:val="single" w:color="auto" w:sz="6" w:space="0"/>
              <w:right w:val="single" w:color="auto" w:sz="6" w:space="0"/>
            </w:tcBorders>
            <w:shd w:val="clear" w:color="auto" w:fill="auto"/>
            <w:noWrap w:val="0"/>
            <w:vAlign w:val="center"/>
          </w:tcPr>
          <w:p>
            <w:pPr>
              <w:pStyle w:val="26"/>
              <w:rPr>
                <w:rFonts w:hint="default" w:ascii="Times New Roman" w:hAnsi="Times New Roman" w:eastAsia="宋体" w:cs="Times New Roman"/>
                <w:sz w:val="21"/>
                <w:szCs w:val="21"/>
              </w:rPr>
            </w:pPr>
            <w:bookmarkStart w:id="58" w:name="_Toc461992355"/>
            <w:r>
              <w:rPr>
                <w:rFonts w:hint="default" w:ascii="Times New Roman" w:hAnsi="Times New Roman" w:eastAsia="宋体" w:cs="Times New Roman"/>
                <w:sz w:val="21"/>
                <w:szCs w:val="21"/>
              </w:rPr>
              <w:t>具体事故</w:t>
            </w:r>
            <w:bookmarkEnd w:id="58"/>
          </w:p>
        </w:tc>
        <w:tc>
          <w:tcPr>
            <w:tcW w:w="749" w:type="pct"/>
            <w:tcBorders>
              <w:left w:val="single" w:color="auto" w:sz="6" w:space="0"/>
              <w:bottom w:val="single" w:color="auto" w:sz="6" w:space="0"/>
              <w:right w:val="single" w:color="auto" w:sz="6" w:space="0"/>
            </w:tcBorders>
            <w:shd w:val="clear" w:color="auto" w:fill="auto"/>
            <w:noWrap w:val="0"/>
            <w:vAlign w:val="center"/>
          </w:tcPr>
          <w:p>
            <w:pPr>
              <w:pStyle w:val="26"/>
              <w:rPr>
                <w:rFonts w:hint="default" w:ascii="Times New Roman" w:hAnsi="Times New Roman" w:eastAsia="宋体" w:cs="Times New Roman"/>
                <w:sz w:val="21"/>
                <w:szCs w:val="21"/>
              </w:rPr>
            </w:pPr>
            <w:bookmarkStart w:id="59" w:name="_Toc461992356"/>
            <w:r>
              <w:rPr>
                <w:rFonts w:hint="default" w:ascii="Times New Roman" w:hAnsi="Times New Roman" w:eastAsia="宋体" w:cs="Times New Roman"/>
                <w:sz w:val="21"/>
                <w:szCs w:val="21"/>
              </w:rPr>
              <w:t>容积m</w:t>
            </w:r>
            <w:r>
              <w:rPr>
                <w:rFonts w:hint="default" w:ascii="Times New Roman" w:hAnsi="Times New Roman" w:eastAsia="宋体" w:cs="Times New Roman"/>
                <w:sz w:val="21"/>
                <w:szCs w:val="21"/>
                <w:vertAlign w:val="superscript"/>
              </w:rPr>
              <w:t>3</w:t>
            </w:r>
            <w:bookmarkEnd w:id="59"/>
          </w:p>
        </w:tc>
        <w:tc>
          <w:tcPr>
            <w:tcW w:w="1302" w:type="pct"/>
            <w:tcBorders>
              <w:left w:val="single" w:color="auto" w:sz="6" w:space="0"/>
              <w:bottom w:val="single" w:color="auto" w:sz="6" w:space="0"/>
              <w:right w:val="single" w:color="auto" w:sz="6" w:space="0"/>
            </w:tcBorders>
            <w:shd w:val="clear" w:color="auto" w:fill="auto"/>
            <w:noWrap w:val="0"/>
            <w:vAlign w:val="center"/>
          </w:tcPr>
          <w:p>
            <w:pPr>
              <w:pStyle w:val="26"/>
              <w:rPr>
                <w:rFonts w:hint="default" w:ascii="Times New Roman" w:hAnsi="Times New Roman" w:eastAsia="宋体" w:cs="Times New Roman"/>
                <w:sz w:val="21"/>
                <w:szCs w:val="21"/>
              </w:rPr>
            </w:pPr>
            <w:bookmarkStart w:id="60" w:name="_Toc461992357"/>
            <w:r>
              <w:rPr>
                <w:rFonts w:hint="default" w:ascii="Times New Roman" w:hAnsi="Times New Roman" w:eastAsia="宋体" w:cs="Times New Roman"/>
                <w:sz w:val="21"/>
                <w:szCs w:val="21"/>
              </w:rPr>
              <w:t>*爆炸物质总质量(t)</w:t>
            </w:r>
            <w:bookmarkEnd w:id="60"/>
          </w:p>
        </w:tc>
        <w:tc>
          <w:tcPr>
            <w:tcW w:w="1087" w:type="pct"/>
            <w:tcBorders>
              <w:left w:val="single" w:color="auto" w:sz="6" w:space="0"/>
              <w:bottom w:val="single" w:color="auto" w:sz="6" w:space="0"/>
            </w:tcBorders>
            <w:shd w:val="clear" w:color="auto" w:fill="auto"/>
            <w:noWrap w:val="0"/>
            <w:vAlign w:val="center"/>
          </w:tcPr>
          <w:p>
            <w:pPr>
              <w:pStyle w:val="26"/>
              <w:rPr>
                <w:rFonts w:hint="default" w:ascii="Times New Roman" w:hAnsi="Times New Roman" w:eastAsia="宋体" w:cs="Times New Roman"/>
                <w:sz w:val="21"/>
                <w:szCs w:val="21"/>
              </w:rPr>
            </w:pPr>
            <w:bookmarkStart w:id="61" w:name="_Toc461992358"/>
            <w:r>
              <w:rPr>
                <w:rFonts w:hint="default" w:ascii="Times New Roman" w:hAnsi="Times New Roman" w:eastAsia="宋体" w:cs="Times New Roman"/>
                <w:sz w:val="21"/>
                <w:szCs w:val="21"/>
              </w:rPr>
              <w:t>液体燃烧热J/kg</w:t>
            </w:r>
            <w:bookmarkEnd w:id="61"/>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13" w:type="pct"/>
            <w:tcBorders>
              <w:top w:val="single" w:color="auto" w:sz="6" w:space="0"/>
              <w:bottom w:val="single" w:color="auto" w:sz="6" w:space="0"/>
              <w:right w:val="single" w:color="auto" w:sz="6" w:space="0"/>
            </w:tcBorders>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柴油储罐</w:t>
            </w:r>
          </w:p>
        </w:tc>
        <w:tc>
          <w:tcPr>
            <w:tcW w:w="846"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rPr>
                <w:rFonts w:hint="default" w:ascii="Times New Roman" w:hAnsi="Times New Roman" w:eastAsia="宋体" w:cs="Times New Roman"/>
                <w:sz w:val="21"/>
                <w:szCs w:val="21"/>
              </w:rPr>
            </w:pPr>
            <w:bookmarkStart w:id="62" w:name="_Toc461992360"/>
            <w:r>
              <w:rPr>
                <w:rFonts w:hint="default" w:ascii="Times New Roman" w:hAnsi="Times New Roman" w:eastAsia="宋体" w:cs="Times New Roman"/>
                <w:sz w:val="21"/>
                <w:szCs w:val="21"/>
              </w:rPr>
              <w:t>火灾爆炸</w:t>
            </w:r>
            <w:bookmarkEnd w:id="62"/>
          </w:p>
        </w:tc>
        <w:tc>
          <w:tcPr>
            <w:tcW w:w="749"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rPr>
                <w:rFonts w:hint="default" w:ascii="Times New Roman" w:hAnsi="Times New Roman" w:eastAsia="宋体" w:cs="Times New Roman"/>
                <w:sz w:val="21"/>
                <w:szCs w:val="21"/>
                <w:lang w:val="en-US" w:eastAsia="zh-CN"/>
              </w:rPr>
            </w:pPr>
            <w:r>
              <w:rPr>
                <w:rFonts w:hint="eastAsia" w:cs="Times New Roman"/>
                <w:sz w:val="21"/>
                <w:szCs w:val="21"/>
                <w:lang w:val="en-US" w:eastAsia="zh-CN"/>
              </w:rPr>
              <w:t>100000</w:t>
            </w:r>
          </w:p>
        </w:tc>
        <w:tc>
          <w:tcPr>
            <w:tcW w:w="1302"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rPr>
                <w:rFonts w:hint="default" w:ascii="Times New Roman" w:hAnsi="Times New Roman" w:eastAsia="宋体" w:cs="Times New Roman"/>
                <w:sz w:val="21"/>
                <w:szCs w:val="21"/>
                <w:lang w:val="en-US" w:eastAsia="zh-CN"/>
              </w:rPr>
            </w:pPr>
            <w:r>
              <w:rPr>
                <w:rFonts w:hint="eastAsia" w:cs="Times New Roman"/>
                <w:sz w:val="21"/>
                <w:szCs w:val="21"/>
                <w:lang w:val="en-US" w:eastAsia="zh-CN"/>
              </w:rPr>
              <w:t>68800</w:t>
            </w:r>
          </w:p>
        </w:tc>
        <w:tc>
          <w:tcPr>
            <w:tcW w:w="1087" w:type="pct"/>
            <w:tcBorders>
              <w:top w:val="single" w:color="auto" w:sz="6" w:space="0"/>
              <w:left w:val="single" w:color="auto" w:sz="6" w:space="0"/>
              <w:bottom w:val="single" w:color="auto" w:sz="6" w:space="0"/>
            </w:tcBorders>
            <w:shd w:val="clear" w:color="auto" w:fill="auto"/>
            <w:noWrap w:val="0"/>
            <w:vAlign w:val="center"/>
          </w:tcPr>
          <w:p>
            <w:pPr>
              <w:pStyle w:val="26"/>
              <w:rPr>
                <w:rFonts w:hint="default" w:ascii="Times New Roman" w:hAnsi="Times New Roman" w:eastAsia="宋体" w:cs="Times New Roman"/>
                <w:sz w:val="21"/>
                <w:szCs w:val="21"/>
              </w:rPr>
            </w:pPr>
            <w:bookmarkStart w:id="63" w:name="_Toc461992363"/>
            <w:r>
              <w:rPr>
                <w:rFonts w:hint="default" w:ascii="Times New Roman" w:hAnsi="Times New Roman" w:eastAsia="宋体" w:cs="Times New Roman"/>
                <w:sz w:val="21"/>
                <w:szCs w:val="21"/>
              </w:rPr>
              <w:t>4.73×10</w:t>
            </w:r>
            <w:r>
              <w:rPr>
                <w:rFonts w:hint="default" w:ascii="Times New Roman" w:hAnsi="Times New Roman" w:eastAsia="宋体" w:cs="Times New Roman"/>
                <w:sz w:val="21"/>
                <w:szCs w:val="21"/>
                <w:vertAlign w:val="superscript"/>
              </w:rPr>
              <w:t>7</w:t>
            </w:r>
            <w:bookmarkEnd w:id="63"/>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013" w:type="pct"/>
            <w:tcBorders>
              <w:top w:val="single" w:color="auto" w:sz="6" w:space="0"/>
              <w:right w:val="single" w:color="auto" w:sz="6" w:space="0"/>
            </w:tcBorders>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汽油储罐</w:t>
            </w:r>
          </w:p>
        </w:tc>
        <w:tc>
          <w:tcPr>
            <w:tcW w:w="846" w:type="pct"/>
            <w:tcBorders>
              <w:top w:val="single" w:color="auto" w:sz="6" w:space="0"/>
              <w:left w:val="single" w:color="auto" w:sz="6" w:space="0"/>
              <w:right w:val="single" w:color="auto" w:sz="6" w:space="0"/>
            </w:tcBorders>
            <w:shd w:val="clear" w:color="auto" w:fill="auto"/>
            <w:noWrap w:val="0"/>
            <w:vAlign w:val="center"/>
          </w:tcPr>
          <w:p>
            <w:pPr>
              <w:pStyle w:val="26"/>
              <w:rPr>
                <w:rFonts w:hint="default" w:ascii="Times New Roman" w:hAnsi="Times New Roman" w:eastAsia="宋体" w:cs="Times New Roman"/>
                <w:sz w:val="21"/>
                <w:szCs w:val="21"/>
              </w:rPr>
            </w:pPr>
            <w:bookmarkStart w:id="64" w:name="_Toc461992365"/>
            <w:r>
              <w:rPr>
                <w:rFonts w:hint="default" w:ascii="Times New Roman" w:hAnsi="Times New Roman" w:eastAsia="宋体" w:cs="Times New Roman"/>
                <w:sz w:val="21"/>
                <w:szCs w:val="21"/>
              </w:rPr>
              <w:t>火灾爆炸</w:t>
            </w:r>
            <w:bookmarkEnd w:id="64"/>
          </w:p>
        </w:tc>
        <w:tc>
          <w:tcPr>
            <w:tcW w:w="749" w:type="pct"/>
            <w:tcBorders>
              <w:top w:val="single" w:color="auto" w:sz="6" w:space="0"/>
              <w:left w:val="single" w:color="auto" w:sz="6" w:space="0"/>
              <w:right w:val="single" w:color="auto" w:sz="6" w:space="0"/>
            </w:tcBorders>
            <w:shd w:val="clear" w:color="auto" w:fill="auto"/>
            <w:noWrap w:val="0"/>
            <w:vAlign w:val="center"/>
          </w:tcPr>
          <w:p>
            <w:pPr>
              <w:pStyle w:val="26"/>
              <w:rPr>
                <w:rFonts w:hint="default" w:ascii="Times New Roman" w:hAnsi="Times New Roman" w:eastAsia="宋体" w:cs="Times New Roman"/>
                <w:sz w:val="21"/>
                <w:szCs w:val="21"/>
                <w:lang w:val="en-US" w:eastAsia="zh-CN"/>
              </w:rPr>
            </w:pPr>
            <w:r>
              <w:rPr>
                <w:rFonts w:hint="eastAsia" w:cs="Times New Roman"/>
                <w:sz w:val="21"/>
                <w:szCs w:val="21"/>
                <w:lang w:val="en-US" w:eastAsia="zh-CN"/>
              </w:rPr>
              <w:t>90000</w:t>
            </w:r>
          </w:p>
        </w:tc>
        <w:tc>
          <w:tcPr>
            <w:tcW w:w="1302" w:type="pct"/>
            <w:tcBorders>
              <w:top w:val="single" w:color="auto" w:sz="6" w:space="0"/>
              <w:left w:val="single" w:color="auto" w:sz="6" w:space="0"/>
              <w:right w:val="single" w:color="auto" w:sz="6" w:space="0"/>
            </w:tcBorders>
            <w:shd w:val="clear" w:color="auto" w:fill="auto"/>
            <w:noWrap w:val="0"/>
            <w:vAlign w:val="center"/>
          </w:tcPr>
          <w:p>
            <w:pPr>
              <w:pStyle w:val="26"/>
              <w:rPr>
                <w:rFonts w:hint="default" w:ascii="Times New Roman" w:hAnsi="Times New Roman" w:eastAsia="宋体" w:cs="Times New Roman"/>
                <w:sz w:val="21"/>
                <w:szCs w:val="21"/>
                <w:lang w:val="en-US" w:eastAsia="zh-CN"/>
              </w:rPr>
            </w:pPr>
            <w:r>
              <w:rPr>
                <w:rFonts w:hint="eastAsia" w:cs="Times New Roman"/>
                <w:sz w:val="21"/>
                <w:szCs w:val="21"/>
                <w:lang w:val="en-US" w:eastAsia="zh-CN"/>
              </w:rPr>
              <w:t>54000</w:t>
            </w:r>
          </w:p>
        </w:tc>
        <w:tc>
          <w:tcPr>
            <w:tcW w:w="1087" w:type="pct"/>
            <w:tcBorders>
              <w:top w:val="single" w:color="auto" w:sz="6" w:space="0"/>
              <w:left w:val="single" w:color="auto" w:sz="6" w:space="0"/>
            </w:tcBorders>
            <w:shd w:val="clear" w:color="auto" w:fill="auto"/>
            <w:noWrap w:val="0"/>
            <w:vAlign w:val="center"/>
          </w:tcPr>
          <w:p>
            <w:pPr>
              <w:pStyle w:val="26"/>
              <w:rPr>
                <w:rFonts w:hint="default" w:ascii="Times New Roman" w:hAnsi="Times New Roman" w:eastAsia="宋体" w:cs="Times New Roman"/>
                <w:sz w:val="21"/>
                <w:szCs w:val="21"/>
              </w:rPr>
            </w:pPr>
            <w:bookmarkStart w:id="65" w:name="_Toc461992368"/>
            <w:r>
              <w:rPr>
                <w:rFonts w:hint="default" w:ascii="Times New Roman" w:hAnsi="Times New Roman" w:eastAsia="宋体" w:cs="Times New Roman"/>
                <w:sz w:val="21"/>
                <w:szCs w:val="21"/>
              </w:rPr>
              <w:t>4.48×10</w:t>
            </w:r>
            <w:r>
              <w:rPr>
                <w:rFonts w:hint="default" w:ascii="Times New Roman" w:hAnsi="Times New Roman" w:eastAsia="宋体" w:cs="Times New Roman"/>
                <w:sz w:val="21"/>
                <w:szCs w:val="21"/>
                <w:vertAlign w:val="superscript"/>
              </w:rPr>
              <w:t>7</w:t>
            </w:r>
            <w:bookmarkEnd w:id="65"/>
          </w:p>
        </w:tc>
      </w:tr>
    </w:tbl>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lang w:val="en-US" w:eastAsia="zh-CN"/>
        </w:rPr>
      </w:pP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lang w:val="en-US" w:eastAsia="zh-CN"/>
        </w:rPr>
      </w:pPr>
      <w:bookmarkStart w:id="66" w:name="_Toc728"/>
      <w:r>
        <w:rPr>
          <w:rFonts w:hint="eastAsia" w:ascii="Times New Roman" w:hAnsi="Times New Roman" w:eastAsia="宋体" w:cs="Times New Roman"/>
          <w:lang w:val="en-US" w:eastAsia="zh-CN"/>
        </w:rPr>
        <w:t>2、</w:t>
      </w:r>
      <w:r>
        <w:rPr>
          <w:rFonts w:hint="default" w:ascii="Times New Roman" w:hAnsi="Times New Roman" w:eastAsia="宋体" w:cs="Times New Roman"/>
          <w:lang w:val="en-US" w:eastAsia="zh-CN"/>
        </w:rPr>
        <w:t>火灾发生后CO和SO</w:t>
      </w:r>
      <w:r>
        <w:rPr>
          <w:rFonts w:hint="default" w:ascii="Times New Roman" w:hAnsi="Times New Roman" w:eastAsia="宋体" w:cs="Times New Roman"/>
          <w:vertAlign w:val="subscript"/>
          <w:lang w:val="en-US" w:eastAsia="zh-CN"/>
        </w:rPr>
        <w:t>2</w:t>
      </w:r>
      <w:r>
        <w:rPr>
          <w:rFonts w:hint="default" w:ascii="Times New Roman" w:hAnsi="Times New Roman" w:eastAsia="宋体" w:cs="Times New Roman"/>
          <w:lang w:val="en-US" w:eastAsia="zh-CN"/>
        </w:rPr>
        <w:t>的源强</w:t>
      </w:r>
      <w:bookmarkEnd w:id="66"/>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上述危险物料大部分为石化产品，燃烧过程中除了会产生CO</w:t>
      </w:r>
      <w:r>
        <w:rPr>
          <w:rFonts w:hint="default" w:ascii="Times New Roman" w:hAnsi="Times New Roman" w:eastAsia="宋体" w:cs="Times New Roman"/>
          <w:vertAlign w:val="subscript"/>
          <w:lang w:val="en-US" w:eastAsia="zh-CN"/>
        </w:rPr>
        <w:t>2</w:t>
      </w:r>
      <w:r>
        <w:rPr>
          <w:rFonts w:hint="default" w:ascii="Times New Roman" w:hAnsi="Times New Roman" w:eastAsia="宋体" w:cs="Times New Roman"/>
          <w:lang w:val="en-US" w:eastAsia="zh-CN"/>
        </w:rPr>
        <w:t>和H</w:t>
      </w:r>
      <w:r>
        <w:rPr>
          <w:rFonts w:hint="default" w:ascii="Times New Roman" w:hAnsi="Times New Roman" w:eastAsia="宋体" w:cs="Times New Roman"/>
          <w:vertAlign w:val="subscript"/>
          <w:lang w:val="en-US" w:eastAsia="zh-CN"/>
        </w:rPr>
        <w:t>2</w:t>
      </w:r>
      <w:r>
        <w:rPr>
          <w:rFonts w:hint="default" w:ascii="Times New Roman" w:hAnsi="Times New Roman" w:eastAsia="宋体" w:cs="Times New Roman"/>
          <w:lang w:val="en-US" w:eastAsia="zh-CN"/>
        </w:rPr>
        <w:t>O外，还会因不完全燃烧产生CO、SO</w:t>
      </w:r>
      <w:r>
        <w:rPr>
          <w:rFonts w:hint="default" w:ascii="Times New Roman" w:hAnsi="Times New Roman" w:eastAsia="宋体" w:cs="Times New Roman"/>
          <w:vertAlign w:val="subscript"/>
          <w:lang w:val="en-US" w:eastAsia="zh-CN"/>
        </w:rPr>
        <w:t>2</w:t>
      </w:r>
      <w:r>
        <w:rPr>
          <w:rFonts w:hint="default" w:ascii="Times New Roman" w:hAnsi="Times New Roman" w:eastAsia="宋体" w:cs="Times New Roman"/>
          <w:lang w:val="en-US" w:eastAsia="zh-CN"/>
        </w:rPr>
        <w:t>、碳粒(PM</w:t>
      </w:r>
      <w:r>
        <w:rPr>
          <w:rFonts w:hint="default" w:ascii="Times New Roman" w:hAnsi="Times New Roman" w:eastAsia="宋体" w:cs="Times New Roman"/>
          <w:vertAlign w:val="subscript"/>
          <w:lang w:val="en-US" w:eastAsia="zh-CN"/>
        </w:rPr>
        <w:t>10</w:t>
      </w:r>
      <w:r>
        <w:rPr>
          <w:rFonts w:hint="default" w:ascii="Times New Roman" w:hAnsi="Times New Roman" w:eastAsia="宋体" w:cs="Times New Roman"/>
          <w:lang w:val="en-US" w:eastAsia="zh-CN"/>
        </w:rPr>
        <w:t>和PM</w:t>
      </w:r>
      <w:r>
        <w:rPr>
          <w:rFonts w:hint="default" w:ascii="Times New Roman" w:hAnsi="Times New Roman" w:eastAsia="宋体" w:cs="Times New Roman"/>
          <w:vertAlign w:val="subscript"/>
          <w:lang w:val="en-US" w:eastAsia="zh-CN"/>
        </w:rPr>
        <w:t>2.5</w:t>
      </w:r>
      <w:r>
        <w:rPr>
          <w:rFonts w:hint="default" w:ascii="Times New Roman" w:hAnsi="Times New Roman" w:eastAsia="宋体" w:cs="Times New Roman"/>
          <w:lang w:val="en-US" w:eastAsia="zh-CN"/>
        </w:rPr>
        <w:t>等)和VOCs等，其中CO和SO</w:t>
      </w:r>
      <w:r>
        <w:rPr>
          <w:rFonts w:hint="default" w:ascii="Times New Roman" w:hAnsi="Times New Roman" w:eastAsia="宋体" w:cs="Times New Roman"/>
          <w:vertAlign w:val="subscript"/>
          <w:lang w:val="en-US" w:eastAsia="zh-CN"/>
        </w:rPr>
        <w:t>2</w:t>
      </w:r>
      <w:r>
        <w:rPr>
          <w:rFonts w:hint="default" w:ascii="Times New Roman" w:hAnsi="Times New Roman" w:eastAsia="宋体" w:cs="Times New Roman"/>
          <w:lang w:val="en-US" w:eastAsia="zh-CN"/>
        </w:rPr>
        <w:t>影响较大，将其列为预测因子。通过查阅《油库项目爆炸产物燃烧产物的环境风险评价方法》（苗青，中国资源综合利用，2010年5月），火灾发生后CO和烟尘源强计算方式如下：</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1 \* GB3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①</w:t>
      </w: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t>CO源强</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油品的燃烧可按下式进行计算：</w:t>
      </w:r>
    </w:p>
    <w:p>
      <w:pPr>
        <w:pStyle w:val="1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Gco=2.33×q×C×Q</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式中：</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Gco为燃烧产生的CO量，t/s；</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C为燃烧中碳的质量百分比含量，取85%；</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q油品中碳不完全燃烧率，%；</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lang w:val="en-US" w:eastAsia="zh-CN"/>
        </w:rPr>
        <w:t>Q</w:t>
      </w:r>
      <w:r>
        <w:rPr>
          <w:rFonts w:hint="default" w:ascii="Times New Roman" w:hAnsi="Times New Roman" w:eastAsia="宋体" w:cs="Times New Roman"/>
        </w:rPr>
        <w:t>为参与燃烧的油量，t/s。</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大连石化公司油品储罐突发性事故伴生CO污染源强及影响分析报告》，原油在2~10m/s下燃烧生成CO的不完全燃烧率在1.56%~4.34%之间。本项目所储存的油品分别有汽油和柴油，均为原油的蒸馏产物，化学成分相近，CO的不完全燃烧率可取实验数据的2.3倍，即10%。原油燃烧速率为78.1kg/（m2·h）,按罐体着火的火灾面积计算可知：</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柴油储罐火灾情况下CO源强均为0.67kg/s，汽油储罐火灾情况下CO源强均为0.41kg/s。</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2 \* GB3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②</w:t>
      </w: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t>SO</w:t>
      </w:r>
      <w:r>
        <w:rPr>
          <w:rFonts w:hint="default" w:ascii="Times New Roman" w:hAnsi="Times New Roman" w:eastAsia="宋体" w:cs="Times New Roman"/>
          <w:vertAlign w:val="subscript"/>
          <w:lang w:val="en-US" w:eastAsia="zh-CN"/>
        </w:rPr>
        <w:t>2</w:t>
      </w:r>
      <w:r>
        <w:rPr>
          <w:rFonts w:hint="default" w:ascii="Times New Roman" w:hAnsi="Times New Roman" w:eastAsia="宋体" w:cs="Times New Roman"/>
          <w:lang w:val="en-US" w:eastAsia="zh-CN"/>
        </w:rPr>
        <w:t>源强</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油品燃烧SO</w:t>
      </w:r>
      <w:r>
        <w:rPr>
          <w:rFonts w:hint="default" w:ascii="Times New Roman" w:hAnsi="Times New Roman" w:eastAsia="宋体" w:cs="Times New Roman"/>
          <w:vertAlign w:val="subscript"/>
          <w:lang w:val="en-US" w:eastAsia="zh-CN"/>
        </w:rPr>
        <w:t>2</w:t>
      </w:r>
      <w:r>
        <w:rPr>
          <w:rFonts w:hint="default" w:ascii="Times New Roman" w:hAnsi="Times New Roman" w:eastAsia="宋体" w:cs="Times New Roman"/>
          <w:lang w:val="en-US" w:eastAsia="zh-CN"/>
        </w:rPr>
        <w:t>的产生量可按下式进行计算</w:t>
      </w:r>
    </w:p>
    <w:p>
      <w:pPr>
        <w:pStyle w:val="1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GSO</w:t>
      </w:r>
      <w:r>
        <w:rPr>
          <w:rFonts w:hint="default" w:ascii="Times New Roman" w:hAnsi="Times New Roman" w:eastAsia="宋体" w:cs="Times New Roman"/>
          <w:vertAlign w:val="subscript"/>
          <w:lang w:val="en-US" w:eastAsia="zh-CN"/>
        </w:rPr>
        <w:t>2</w:t>
      </w:r>
      <w:r>
        <w:rPr>
          <w:rFonts w:hint="default" w:ascii="Times New Roman" w:hAnsi="Times New Roman" w:eastAsia="宋体" w:cs="Times New Roman"/>
          <w:lang w:val="en-US" w:eastAsia="zh-CN"/>
        </w:rPr>
        <w:t>=2·B·S</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式中：</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GSO</w:t>
      </w:r>
      <w:r>
        <w:rPr>
          <w:rFonts w:hint="default" w:ascii="Times New Roman" w:hAnsi="Times New Roman" w:eastAsia="宋体" w:cs="Times New Roman"/>
          <w:vertAlign w:val="subscript"/>
          <w:lang w:val="en-US" w:eastAsia="zh-CN"/>
        </w:rPr>
        <w:t>2</w:t>
      </w:r>
      <w:r>
        <w:rPr>
          <w:rFonts w:hint="default" w:ascii="Times New Roman" w:hAnsi="Times New Roman" w:eastAsia="宋体" w:cs="Times New Roman"/>
          <w:lang w:val="en-US" w:eastAsia="zh-CN"/>
        </w:rPr>
        <w:t>为SO</w:t>
      </w:r>
      <w:r>
        <w:rPr>
          <w:rFonts w:hint="default" w:ascii="Times New Roman" w:hAnsi="Times New Roman" w:eastAsia="宋体" w:cs="Times New Roman"/>
          <w:vertAlign w:val="subscript"/>
          <w:lang w:val="en-US" w:eastAsia="zh-CN"/>
        </w:rPr>
        <w:t>2</w:t>
      </w:r>
      <w:r>
        <w:rPr>
          <w:rFonts w:hint="default" w:ascii="Times New Roman" w:hAnsi="Times New Roman" w:eastAsia="宋体" w:cs="Times New Roman"/>
          <w:lang w:val="en-US" w:eastAsia="zh-CN"/>
        </w:rPr>
        <w:t>排放速率，kg/h；</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B为原油燃烧量，kg/h;</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S为原油硫含量，%，本次汽油按0.015%、柴油按0.035%。</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原油燃烧速率为78.1kg/（m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·h）,按罐体着火的火灾面积计算可知：</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汽油储罐火灾情况下SO</w:t>
      </w:r>
      <w:r>
        <w:rPr>
          <w:rFonts w:hint="default" w:ascii="Times New Roman" w:hAnsi="Times New Roman" w:eastAsia="宋体" w:cs="Times New Roman"/>
          <w:vertAlign w:val="subscript"/>
          <w:lang w:val="en-US" w:eastAsia="zh-CN"/>
        </w:rPr>
        <w:t>2</w:t>
      </w:r>
      <w:r>
        <w:rPr>
          <w:rFonts w:hint="default" w:ascii="Times New Roman" w:hAnsi="Times New Roman" w:eastAsia="宋体" w:cs="Times New Roman"/>
          <w:lang w:val="en-US" w:eastAsia="zh-CN"/>
        </w:rPr>
        <w:t>源强约为1.10kg/h；</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柴油储罐火灾情况下SO</w:t>
      </w:r>
      <w:r>
        <w:rPr>
          <w:rFonts w:hint="default" w:ascii="Times New Roman" w:hAnsi="Times New Roman" w:eastAsia="宋体" w:cs="Times New Roman"/>
          <w:vertAlign w:val="subscript"/>
          <w:lang w:val="en-US" w:eastAsia="zh-CN"/>
        </w:rPr>
        <w:t>2</w:t>
      </w:r>
      <w:r>
        <w:rPr>
          <w:rFonts w:hint="default" w:ascii="Times New Roman" w:hAnsi="Times New Roman" w:eastAsia="宋体" w:cs="Times New Roman"/>
          <w:lang w:val="en-US" w:eastAsia="zh-CN"/>
        </w:rPr>
        <w:t>源强约为4.29kg/h；</w:t>
      </w:r>
    </w:p>
    <w:p>
      <w:pPr>
        <w:pStyle w:val="22"/>
        <w:keepNext w:val="0"/>
        <w:keepLines w:val="0"/>
        <w:pageBreakBefore w:val="0"/>
        <w:widowControl w:val="0"/>
        <w:kinsoku/>
        <w:wordWrap/>
        <w:overflowPunct/>
        <w:topLinePunct w:val="0"/>
        <w:autoSpaceDE/>
        <w:autoSpaceDN/>
        <w:bidi w:val="0"/>
        <w:adjustRightInd/>
        <w:snapToGrid/>
        <w:spacing w:before="0" w:beforeLines="0" w:after="0" w:afterLines="0"/>
        <w:textAlignment w:val="auto"/>
        <w:outlineLvl w:val="1"/>
        <w:rPr>
          <w:rFonts w:hint="eastAsia" w:ascii="Times New Roman" w:hAnsi="Times New Roman" w:eastAsia="宋体" w:cs="Times New Roman"/>
          <w:lang w:eastAsia="zh-CN"/>
        </w:rPr>
      </w:pPr>
      <w:bookmarkStart w:id="67" w:name="_Toc14423"/>
      <w:r>
        <w:rPr>
          <w:rFonts w:hint="eastAsia" w:eastAsia="宋体" w:cs="Times New Roman"/>
          <w:lang w:val="en-US" w:eastAsia="zh-CN"/>
        </w:rPr>
        <w:t>4.</w:t>
      </w:r>
      <w:r>
        <w:rPr>
          <w:rFonts w:hint="eastAsia" w:ascii="Times New Roman" w:hAnsi="Times New Roman" w:eastAsia="宋体" w:cs="Times New Roman"/>
          <w:lang w:val="en-US" w:eastAsia="zh-CN"/>
        </w:rPr>
        <w:t>2.2储罐泄漏事故设定</w:t>
      </w:r>
      <w:bookmarkEnd w:id="67"/>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次按汽油和柴油储罐泄漏进行分析，泄漏事故参数见下表。其中，裂口面积按储罐进出管径尺寸较大计算，即150mm。根据相关文献，典型设备发生泄漏时，大部分情况为破裂20%管径，本次评估设定破损程度为接管口径的20%进行分析。本次评估设定破损程度为接管口径的20%进行分析。根据库区的日常监控管理制度，库内内各储罐内均配备液位自动监测仪，同时项目内部实行专职人员巡视管理制度，每2h巡视一次，凡重大节假日、重点操作、施工以及特殊时期加密巡检力度到1h或0.5h巡检一次，以及24h不间断现场监护。本次评估按最不利情况考虑，以2h为泄漏事故时间。根据柏努利方程计算，其泄漏速度为：</w:t>
      </w:r>
    </w:p>
    <w:p>
      <w:pPr>
        <w:pStyle w:val="19"/>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2276475" cy="772795"/>
            <wp:effectExtent l="0" t="0" r="9525" b="8255"/>
            <wp:docPr id="61" name="图片 3" descr="20058261043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descr="200582610430983"/>
                    <pic:cNvPicPr>
                      <a:picLocks noChangeAspect="1"/>
                    </pic:cNvPicPr>
                  </pic:nvPicPr>
                  <pic:blipFill>
                    <a:blip r:embed="rId10"/>
                    <a:stretch>
                      <a:fillRect/>
                    </a:stretch>
                  </pic:blipFill>
                  <pic:spPr>
                    <a:xfrm>
                      <a:off x="0" y="0"/>
                      <a:ext cx="2276475" cy="772795"/>
                    </a:xfrm>
                    <a:prstGeom prst="rect">
                      <a:avLst/>
                    </a:prstGeom>
                    <a:noFill/>
                    <a:ln>
                      <a:noFill/>
                    </a:ln>
                  </pic:spPr>
                </pic:pic>
              </a:graphicData>
            </a:graphic>
          </wp:inline>
        </w:drawing>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式中：</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Q</w:t>
      </w:r>
      <w:r>
        <w:rPr>
          <w:rFonts w:hint="default" w:ascii="Times New Roman" w:hAnsi="Times New Roman" w:eastAsia="宋体" w:cs="Times New Roman"/>
          <w:vertAlign w:val="subscript"/>
        </w:rPr>
        <w:t>L</w:t>
      </w:r>
      <w:r>
        <w:rPr>
          <w:rFonts w:hint="default" w:ascii="Times New Roman" w:hAnsi="Times New Roman" w:eastAsia="宋体" w:cs="Times New Roman"/>
        </w:rPr>
        <w:t>——液体泄漏速度（kg/s）；</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C</w:t>
      </w:r>
      <w:r>
        <w:rPr>
          <w:rFonts w:hint="default" w:ascii="Times New Roman" w:hAnsi="Times New Roman" w:eastAsia="宋体" w:cs="Times New Roman"/>
          <w:vertAlign w:val="subscript"/>
        </w:rPr>
        <w:t>d</w:t>
      </w:r>
      <w:r>
        <w:rPr>
          <w:rFonts w:hint="default" w:ascii="Times New Roman" w:hAnsi="Times New Roman" w:eastAsia="宋体" w:cs="Times New Roman"/>
        </w:rPr>
        <w:t>——液体泄漏系数（无量纲），此值常用0.6-0.64，本次评价取中间值0.62；</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A——泄漏面积（m</w:t>
      </w:r>
      <w:r>
        <w:rPr>
          <w:rFonts w:hint="default" w:ascii="Times New Roman" w:hAnsi="Times New Roman" w:eastAsia="宋体" w:cs="Times New Roman"/>
          <w:vertAlign w:val="superscript"/>
        </w:rPr>
        <w:t>2</w:t>
      </w:r>
      <w:r>
        <w:rPr>
          <w:rFonts w:hint="default" w:ascii="Times New Roman" w:hAnsi="Times New Roman" w:eastAsia="宋体" w:cs="Times New Roman"/>
        </w:rPr>
        <w:t>）；</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ρ——泄漏流体的密度（kg/m</w:t>
      </w:r>
      <w:r>
        <w:rPr>
          <w:rFonts w:hint="default" w:ascii="Times New Roman" w:hAnsi="Times New Roman" w:eastAsia="宋体" w:cs="Times New Roman"/>
          <w:vertAlign w:val="superscript"/>
        </w:rPr>
        <w:t>3</w:t>
      </w:r>
      <w:r>
        <w:rPr>
          <w:rFonts w:hint="default" w:ascii="Times New Roman" w:hAnsi="Times New Roman" w:eastAsia="宋体" w:cs="Times New Roman"/>
        </w:rPr>
        <w:t>）；</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P——容器内介质压力（Pa），取101325Pa；</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P</w:t>
      </w:r>
      <w:r>
        <w:rPr>
          <w:rFonts w:hint="default" w:ascii="Times New Roman" w:hAnsi="Times New Roman" w:eastAsia="宋体" w:cs="Times New Roman"/>
          <w:vertAlign w:val="subscript"/>
        </w:rPr>
        <w:t>0</w:t>
      </w:r>
      <w:r>
        <w:rPr>
          <w:rFonts w:hint="default" w:ascii="Times New Roman" w:hAnsi="Times New Roman" w:eastAsia="宋体" w:cs="Times New Roman"/>
        </w:rPr>
        <w:t>——环境压力（Pa），取101325Pa；</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g——重力加速度。</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h——裂口之高度（m）。</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由伯努利方程计算得出泄漏事件计算参数见下表。</w:t>
      </w:r>
    </w:p>
    <w:p>
      <w:pPr>
        <w:spacing w:line="360" w:lineRule="auto"/>
        <w:ind w:firstLine="482" w:firstLineChars="200"/>
        <w:jc w:val="center"/>
        <w:rPr>
          <w:rFonts w:hint="eastAsia"/>
          <w:b/>
          <w:bCs/>
          <w:sz w:val="24"/>
          <w:szCs w:val="24"/>
        </w:rPr>
      </w:pPr>
      <w:r>
        <w:rPr>
          <w:rFonts w:hint="eastAsia"/>
          <w:b/>
          <w:bCs/>
          <w:sz w:val="24"/>
          <w:szCs w:val="24"/>
        </w:rPr>
        <w:t>表4</w:t>
      </w:r>
      <w:r>
        <w:rPr>
          <w:rFonts w:hint="eastAsia"/>
          <w:b/>
          <w:bCs/>
          <w:sz w:val="24"/>
          <w:szCs w:val="24"/>
          <w:lang w:val="en-US" w:eastAsia="zh-CN"/>
        </w:rPr>
        <w:t>.2</w:t>
      </w:r>
      <w:r>
        <w:rPr>
          <w:rFonts w:hint="eastAsia"/>
          <w:b/>
          <w:bCs/>
          <w:sz w:val="24"/>
          <w:szCs w:val="24"/>
        </w:rPr>
        <w:t>-</w:t>
      </w:r>
      <w:r>
        <w:rPr>
          <w:rFonts w:hint="eastAsia"/>
          <w:b/>
          <w:bCs/>
          <w:sz w:val="24"/>
          <w:szCs w:val="24"/>
          <w:lang w:val="en-US" w:eastAsia="zh-CN"/>
        </w:rPr>
        <w:t>2</w:t>
      </w:r>
      <w:r>
        <w:rPr>
          <w:rFonts w:hint="eastAsia"/>
          <w:b/>
          <w:bCs/>
          <w:sz w:val="24"/>
          <w:szCs w:val="24"/>
        </w:rPr>
        <w:t xml:space="preserve">  储罐油品泄漏量计算参数及结果一览表</w:t>
      </w:r>
    </w:p>
    <w:tbl>
      <w:tblPr>
        <w:tblStyle w:val="15"/>
        <w:tblW w:w="792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144"/>
        <w:gridCol w:w="881"/>
        <w:gridCol w:w="962"/>
        <w:gridCol w:w="1196"/>
        <w:gridCol w:w="1133"/>
        <w:gridCol w:w="991"/>
        <w:gridCol w:w="9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1" w:type="dxa"/>
            <w:tcBorders>
              <w:tl2br w:val="nil"/>
              <w:tr2bl w:val="nil"/>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储罐</w:t>
            </w:r>
          </w:p>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物料</w:t>
            </w:r>
          </w:p>
        </w:tc>
        <w:tc>
          <w:tcPr>
            <w:tcW w:w="1144" w:type="dxa"/>
            <w:tcBorders>
              <w:tl2br w:val="nil"/>
              <w:tr2bl w:val="nil"/>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泄漏面积(m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w:t>
            </w:r>
          </w:p>
        </w:tc>
        <w:tc>
          <w:tcPr>
            <w:tcW w:w="881" w:type="dxa"/>
            <w:tcBorders>
              <w:tl2br w:val="nil"/>
              <w:tr2bl w:val="nil"/>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容器内压(Pa)</w:t>
            </w:r>
          </w:p>
        </w:tc>
        <w:tc>
          <w:tcPr>
            <w:tcW w:w="962" w:type="dxa"/>
            <w:tcBorders>
              <w:tl2br w:val="nil"/>
              <w:tr2bl w:val="nil"/>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环境压力(Pa)</w:t>
            </w:r>
          </w:p>
        </w:tc>
        <w:tc>
          <w:tcPr>
            <w:tcW w:w="1196" w:type="dxa"/>
            <w:tcBorders>
              <w:tl2br w:val="nil"/>
              <w:tr2bl w:val="nil"/>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裂口高度</w:t>
            </w:r>
          </w:p>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p>
        </w:tc>
        <w:tc>
          <w:tcPr>
            <w:tcW w:w="1133" w:type="dxa"/>
            <w:tcBorders>
              <w:tl2br w:val="nil"/>
              <w:tr2bl w:val="nil"/>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泄漏速率(kg/s)</w:t>
            </w:r>
          </w:p>
        </w:tc>
        <w:tc>
          <w:tcPr>
            <w:tcW w:w="991" w:type="dxa"/>
            <w:tcBorders>
              <w:tl2br w:val="nil"/>
              <w:tr2bl w:val="nil"/>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泄漏时间（h）</w:t>
            </w:r>
          </w:p>
        </w:tc>
        <w:tc>
          <w:tcPr>
            <w:tcW w:w="958" w:type="dxa"/>
            <w:tcBorders>
              <w:tl2br w:val="nil"/>
              <w:tr2bl w:val="nil"/>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泄漏量(kg)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1" w:type="dxa"/>
            <w:tcBorders>
              <w:tl2br w:val="nil"/>
              <w:tr2bl w:val="nil"/>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汽油</w:t>
            </w:r>
          </w:p>
        </w:tc>
        <w:tc>
          <w:tcPr>
            <w:tcW w:w="1144" w:type="dxa"/>
            <w:tcBorders>
              <w:tl2br w:val="nil"/>
              <w:tr2bl w:val="nil"/>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0.0007065</w:t>
            </w:r>
          </w:p>
        </w:tc>
        <w:tc>
          <w:tcPr>
            <w:tcW w:w="881" w:type="dxa"/>
            <w:tcBorders>
              <w:tl2br w:val="nil"/>
              <w:tr2bl w:val="nil"/>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101325</w:t>
            </w:r>
          </w:p>
        </w:tc>
        <w:tc>
          <w:tcPr>
            <w:tcW w:w="962" w:type="dxa"/>
            <w:tcBorders>
              <w:tl2br w:val="nil"/>
              <w:tr2bl w:val="nil"/>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101325</w:t>
            </w:r>
          </w:p>
        </w:tc>
        <w:tc>
          <w:tcPr>
            <w:tcW w:w="1196" w:type="dxa"/>
            <w:tcBorders>
              <w:tl2br w:val="nil"/>
              <w:tr2bl w:val="nil"/>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8.335</w:t>
            </w:r>
          </w:p>
        </w:tc>
        <w:tc>
          <w:tcPr>
            <w:tcW w:w="1133" w:type="dxa"/>
            <w:tcBorders>
              <w:tl2br w:val="nil"/>
              <w:tr2bl w:val="nil"/>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4.059</w:t>
            </w:r>
          </w:p>
        </w:tc>
        <w:tc>
          <w:tcPr>
            <w:tcW w:w="991" w:type="dxa"/>
            <w:tcBorders>
              <w:tl2br w:val="nil"/>
              <w:tr2bl w:val="nil"/>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958" w:type="dxa"/>
            <w:tcBorders>
              <w:tl2br w:val="nil"/>
              <w:tr2bl w:val="nil"/>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29224.8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1" w:type="dxa"/>
            <w:tcBorders>
              <w:tl2br w:val="nil"/>
              <w:tr2bl w:val="nil"/>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柴油</w:t>
            </w:r>
          </w:p>
        </w:tc>
        <w:tc>
          <w:tcPr>
            <w:tcW w:w="1144" w:type="dxa"/>
            <w:tcBorders>
              <w:tl2br w:val="nil"/>
              <w:tr2bl w:val="nil"/>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0.0007065</w:t>
            </w:r>
          </w:p>
        </w:tc>
        <w:tc>
          <w:tcPr>
            <w:tcW w:w="881" w:type="dxa"/>
            <w:tcBorders>
              <w:tl2br w:val="nil"/>
              <w:tr2bl w:val="nil"/>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101325</w:t>
            </w:r>
          </w:p>
        </w:tc>
        <w:tc>
          <w:tcPr>
            <w:tcW w:w="962" w:type="dxa"/>
            <w:tcBorders>
              <w:tl2br w:val="nil"/>
              <w:tr2bl w:val="nil"/>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101325</w:t>
            </w:r>
          </w:p>
        </w:tc>
        <w:tc>
          <w:tcPr>
            <w:tcW w:w="1196" w:type="dxa"/>
            <w:tcBorders>
              <w:tl2br w:val="nil"/>
              <w:tr2bl w:val="nil"/>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8.335</w:t>
            </w:r>
          </w:p>
        </w:tc>
        <w:tc>
          <w:tcPr>
            <w:tcW w:w="1133" w:type="dxa"/>
            <w:tcBorders>
              <w:tl2br w:val="nil"/>
              <w:tr2bl w:val="nil"/>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4.787</w:t>
            </w:r>
          </w:p>
        </w:tc>
        <w:tc>
          <w:tcPr>
            <w:tcW w:w="991" w:type="dxa"/>
            <w:tcBorders>
              <w:tl2br w:val="nil"/>
              <w:tr2bl w:val="nil"/>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958" w:type="dxa"/>
            <w:tcBorders>
              <w:tl2br w:val="nil"/>
              <w:tr2bl w:val="nil"/>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57812.4</w:t>
            </w:r>
          </w:p>
        </w:tc>
      </w:tr>
    </w:tbl>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汽油或柴油储罐发生泄漏，绝大部分溅落在围堰内，靠液体本身的热量和环境供给的热量来蒸发，同时在风的作用下进行分子转移，发生泄漏时，因物料温度与环境温度基本相同，因此通常不会发生闪蒸和热量蒸发，泄漏后在槽罐底部形成液池，而挥发主要原因是液池表面气流运动使液体蒸发，不断扩散转入大气，造成大气污染。根据建设项目环境风险评价技术导则中推荐，质量蒸发速度Q3按下式计算：</w:t>
      </w:r>
    </w:p>
    <w:p>
      <w:pPr>
        <w:pStyle w:val="1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position w:val="-12"/>
        </w:rPr>
        <w:drawing>
          <wp:inline distT="0" distB="0" distL="114300" distR="114300">
            <wp:extent cx="2812415" cy="246380"/>
            <wp:effectExtent l="0" t="0" r="0" b="1270"/>
            <wp:docPr id="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pic:cNvPicPr>
                      <a:picLocks noChangeAspect="1"/>
                    </pic:cNvPicPr>
                  </pic:nvPicPr>
                  <pic:blipFill>
                    <a:blip r:embed="rId11"/>
                    <a:stretch>
                      <a:fillRect/>
                    </a:stretch>
                  </pic:blipFill>
                  <pic:spPr>
                    <a:xfrm>
                      <a:off x="0" y="0"/>
                      <a:ext cx="2812415" cy="246380"/>
                    </a:xfrm>
                    <a:prstGeom prst="rect">
                      <a:avLst/>
                    </a:prstGeom>
                    <a:noFill/>
                    <a:ln>
                      <a:noFill/>
                    </a:ln>
                  </pic:spPr>
                </pic:pic>
              </a:graphicData>
            </a:graphic>
          </wp:inline>
        </w:drawing>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式中：</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Q</w:t>
      </w:r>
      <w:r>
        <w:rPr>
          <w:rFonts w:hint="default" w:ascii="Times New Roman" w:hAnsi="Times New Roman" w:eastAsia="宋体" w:cs="Times New Roman"/>
          <w:vertAlign w:val="subscript"/>
        </w:rPr>
        <w:t>3</w:t>
      </w:r>
      <w:r>
        <w:rPr>
          <w:rFonts w:hint="default" w:ascii="Times New Roman" w:hAnsi="Times New Roman" w:eastAsia="宋体" w:cs="Times New Roman"/>
        </w:rPr>
        <w:t>——质量蒸发速率，kg/s；</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Cs w:val="32"/>
        </w:rPr>
      </w:pPr>
      <w:r>
        <w:rPr>
          <w:rFonts w:hint="default" w:ascii="Times New Roman" w:hAnsi="Times New Roman" w:eastAsia="宋体" w:cs="Times New Roman"/>
          <w:szCs w:val="32"/>
        </w:rPr>
        <w:t>A，n——大气稳定度系数；</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Cs w:val="32"/>
        </w:rPr>
      </w:pPr>
      <w:r>
        <w:rPr>
          <w:rFonts w:hint="default" w:ascii="Times New Roman" w:hAnsi="Times New Roman" w:eastAsia="宋体" w:cs="Times New Roman"/>
          <w:szCs w:val="32"/>
        </w:rPr>
        <w:t>ｐ——液体表面蒸气压，Pa；</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Cs w:val="32"/>
        </w:rPr>
      </w:pPr>
      <w:r>
        <w:rPr>
          <w:rFonts w:hint="default" w:ascii="Times New Roman" w:hAnsi="Times New Roman" w:eastAsia="宋体" w:cs="Times New Roman"/>
          <w:szCs w:val="32"/>
        </w:rPr>
        <w:t>R——气体常数；8.3143J/mol·k；</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Cs w:val="32"/>
        </w:rPr>
      </w:pPr>
      <w:r>
        <w:rPr>
          <w:rFonts w:hint="default" w:ascii="Times New Roman" w:hAnsi="Times New Roman" w:eastAsia="宋体" w:cs="Times New Roman"/>
          <w:szCs w:val="32"/>
        </w:rPr>
        <w:t>T</w:t>
      </w:r>
      <w:r>
        <w:rPr>
          <w:rFonts w:hint="default" w:ascii="Times New Roman" w:hAnsi="Times New Roman" w:eastAsia="宋体" w:cs="Times New Roman"/>
          <w:szCs w:val="32"/>
          <w:vertAlign w:val="subscript"/>
        </w:rPr>
        <w:t>0</w:t>
      </w:r>
      <w:r>
        <w:rPr>
          <w:rFonts w:hint="default" w:ascii="Times New Roman" w:hAnsi="Times New Roman" w:eastAsia="宋体" w:cs="Times New Roman"/>
          <w:szCs w:val="32"/>
        </w:rPr>
        <w:t>——环境温度，k（取298.15）；</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Cs w:val="32"/>
        </w:rPr>
      </w:pPr>
      <w:r>
        <w:rPr>
          <w:rFonts w:hint="default" w:ascii="Times New Roman" w:hAnsi="Times New Roman" w:eastAsia="宋体" w:cs="Times New Roman"/>
          <w:szCs w:val="32"/>
        </w:rPr>
        <w:t>u——风速，m/s；</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bCs/>
          <w:szCs w:val="32"/>
        </w:rPr>
        <w:t>r——液池半径，m。</w:t>
      </w:r>
    </w:p>
    <w:p>
      <w:pPr>
        <w:spacing w:line="360" w:lineRule="auto"/>
        <w:ind w:firstLine="482" w:firstLineChars="200"/>
        <w:jc w:val="center"/>
        <w:rPr>
          <w:rFonts w:hint="eastAsia"/>
          <w:b/>
          <w:bCs/>
          <w:sz w:val="24"/>
          <w:szCs w:val="24"/>
        </w:rPr>
      </w:pPr>
      <w:r>
        <w:rPr>
          <w:rFonts w:hint="eastAsia"/>
          <w:b/>
          <w:bCs/>
          <w:sz w:val="24"/>
          <w:szCs w:val="24"/>
        </w:rPr>
        <w:t>表4</w:t>
      </w:r>
      <w:r>
        <w:rPr>
          <w:rFonts w:hint="eastAsia"/>
          <w:b/>
          <w:bCs/>
          <w:sz w:val="24"/>
          <w:szCs w:val="24"/>
          <w:lang w:val="en-US" w:eastAsia="zh-CN"/>
        </w:rPr>
        <w:t>.2</w:t>
      </w:r>
      <w:r>
        <w:rPr>
          <w:rFonts w:hint="eastAsia"/>
          <w:b/>
          <w:bCs/>
          <w:sz w:val="24"/>
          <w:szCs w:val="24"/>
        </w:rPr>
        <w:t>-</w:t>
      </w:r>
      <w:r>
        <w:rPr>
          <w:rFonts w:hint="eastAsia"/>
          <w:b/>
          <w:bCs/>
          <w:sz w:val="24"/>
          <w:szCs w:val="24"/>
          <w:lang w:val="en-US" w:eastAsia="zh-CN"/>
        </w:rPr>
        <w:t>3</w:t>
      </w:r>
      <w:r>
        <w:rPr>
          <w:rFonts w:hint="eastAsia"/>
          <w:b/>
          <w:bCs/>
          <w:sz w:val="24"/>
          <w:szCs w:val="24"/>
        </w:rPr>
        <w:t xml:space="preserve">  液池蒸发模式参数一览表</w:t>
      </w:r>
    </w:p>
    <w:tbl>
      <w:tblPr>
        <w:tblStyle w:val="15"/>
        <w:tblW w:w="4815"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958"/>
        <w:gridCol w:w="2624"/>
        <w:gridCol w:w="2625"/>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02" w:type="pct"/>
            <w:tcBorders>
              <w:top w:val="single" w:color="auto" w:sz="12" w:space="0"/>
              <w:bottom w:val="single" w:color="auto" w:sz="6" w:space="0"/>
              <w:right w:val="single" w:color="auto" w:sz="6" w:space="0"/>
            </w:tcBorders>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稳定度条件</w:t>
            </w:r>
          </w:p>
        </w:tc>
        <w:tc>
          <w:tcPr>
            <w:tcW w:w="1598" w:type="pct"/>
            <w:tcBorders>
              <w:top w:val="single" w:color="auto" w:sz="12" w:space="0"/>
              <w:left w:val="single" w:color="auto" w:sz="6" w:space="0"/>
              <w:bottom w:val="single" w:color="auto" w:sz="6" w:space="0"/>
              <w:right w:val="single" w:color="auto" w:sz="6" w:space="0"/>
            </w:tcBorders>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w:t>
            </w:r>
          </w:p>
        </w:tc>
        <w:tc>
          <w:tcPr>
            <w:tcW w:w="1599" w:type="pct"/>
            <w:tcBorders>
              <w:top w:val="single" w:color="auto" w:sz="12" w:space="0"/>
              <w:left w:val="single" w:color="auto" w:sz="6" w:space="0"/>
              <w:bottom w:val="single" w:color="auto" w:sz="6" w:space="0"/>
            </w:tcBorders>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α</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02" w:type="pct"/>
            <w:tcBorders>
              <w:top w:val="single" w:color="auto" w:sz="6" w:space="0"/>
              <w:bottom w:val="single" w:color="auto" w:sz="6" w:space="0"/>
              <w:right w:val="single" w:color="auto" w:sz="6" w:space="0"/>
            </w:tcBorders>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不稳定（A-B）</w:t>
            </w:r>
          </w:p>
        </w:tc>
        <w:tc>
          <w:tcPr>
            <w:tcW w:w="1598"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w:t>
            </w:r>
          </w:p>
        </w:tc>
        <w:tc>
          <w:tcPr>
            <w:tcW w:w="1599" w:type="pct"/>
            <w:tcBorders>
              <w:top w:val="single" w:color="auto" w:sz="6" w:space="0"/>
              <w:left w:val="single" w:color="auto" w:sz="6" w:space="0"/>
              <w:bottom w:val="single" w:color="auto" w:sz="6" w:space="0"/>
            </w:tcBorders>
            <w:shd w:val="clear" w:color="auto" w:fill="auto"/>
            <w:noWrap w:val="0"/>
            <w:vAlign w:val="center"/>
          </w:tcPr>
          <w:p>
            <w:pPr>
              <w:pStyle w:val="26"/>
              <w:rPr>
                <w:rFonts w:hint="default" w:ascii="Times New Roman" w:hAnsi="Times New Roman" w:eastAsia="宋体" w:cs="Times New Roman"/>
                <w:sz w:val="21"/>
                <w:szCs w:val="21"/>
                <w:vertAlign w:val="superscript"/>
              </w:rPr>
            </w:pPr>
            <w:r>
              <w:rPr>
                <w:rFonts w:hint="default" w:ascii="Times New Roman" w:hAnsi="Times New Roman" w:eastAsia="宋体" w:cs="Times New Roman"/>
                <w:sz w:val="21"/>
                <w:szCs w:val="21"/>
              </w:rPr>
              <w:t>3.846×10</w:t>
            </w:r>
            <w:r>
              <w:rPr>
                <w:rFonts w:hint="default" w:ascii="Times New Roman" w:hAnsi="Times New Roman" w:eastAsia="宋体" w:cs="Times New Roman"/>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02" w:type="pct"/>
            <w:tcBorders>
              <w:top w:val="single" w:color="auto" w:sz="6" w:space="0"/>
              <w:bottom w:val="single" w:color="auto" w:sz="6" w:space="0"/>
              <w:right w:val="single" w:color="auto" w:sz="6" w:space="0"/>
            </w:tcBorders>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中性（D）</w:t>
            </w:r>
          </w:p>
        </w:tc>
        <w:tc>
          <w:tcPr>
            <w:tcW w:w="1598"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0.25</w:t>
            </w:r>
          </w:p>
        </w:tc>
        <w:tc>
          <w:tcPr>
            <w:tcW w:w="1599" w:type="pct"/>
            <w:tcBorders>
              <w:top w:val="single" w:color="auto" w:sz="6" w:space="0"/>
              <w:left w:val="single" w:color="auto" w:sz="6" w:space="0"/>
              <w:bottom w:val="single" w:color="auto" w:sz="6" w:space="0"/>
            </w:tcBorders>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4.685×10</w:t>
            </w:r>
            <w:r>
              <w:rPr>
                <w:rFonts w:hint="default" w:ascii="Times New Roman" w:hAnsi="Times New Roman" w:eastAsia="宋体" w:cs="Times New Roman"/>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6" w:hRule="atLeast"/>
          <w:jc w:val="center"/>
        </w:trPr>
        <w:tc>
          <w:tcPr>
            <w:tcW w:w="1802" w:type="pct"/>
            <w:tcBorders>
              <w:top w:val="single" w:color="auto" w:sz="6" w:space="0"/>
              <w:bottom w:val="single" w:color="auto" w:sz="12" w:space="0"/>
              <w:right w:val="single" w:color="auto" w:sz="6" w:space="0"/>
            </w:tcBorders>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稳定（E-F）</w:t>
            </w:r>
          </w:p>
        </w:tc>
        <w:tc>
          <w:tcPr>
            <w:tcW w:w="1598" w:type="pct"/>
            <w:tcBorders>
              <w:top w:val="single" w:color="auto" w:sz="6" w:space="0"/>
              <w:left w:val="single" w:color="auto" w:sz="6" w:space="0"/>
              <w:bottom w:val="single" w:color="auto" w:sz="12" w:space="0"/>
              <w:right w:val="single" w:color="auto" w:sz="6" w:space="0"/>
            </w:tcBorders>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w:t>
            </w:r>
          </w:p>
        </w:tc>
        <w:tc>
          <w:tcPr>
            <w:tcW w:w="1599" w:type="pct"/>
            <w:tcBorders>
              <w:top w:val="single" w:color="auto" w:sz="6" w:space="0"/>
              <w:left w:val="single" w:color="auto" w:sz="6" w:space="0"/>
              <w:bottom w:val="single" w:color="auto" w:sz="12" w:space="0"/>
            </w:tcBorders>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5.285×10</w:t>
            </w:r>
            <w:r>
              <w:rPr>
                <w:rFonts w:hint="default" w:ascii="Times New Roman" w:hAnsi="Times New Roman" w:eastAsia="宋体" w:cs="Times New Roman"/>
                <w:sz w:val="21"/>
                <w:szCs w:val="21"/>
                <w:vertAlign w:val="superscript"/>
              </w:rPr>
              <w:t>-3</w:t>
            </w:r>
          </w:p>
        </w:tc>
      </w:tr>
    </w:tbl>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液池最大直径取决于泄漏点附近的地域构型、泄漏的连续性或瞬时性。有围堰时，以围堰最大等效半径为液池半径。本次评估以2h泄漏的油品及围堰面积推算液池面积和液面有效高度。有关参数的选取及计算结果见下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4"/>
          <w:szCs w:val="24"/>
        </w:rPr>
      </w:pPr>
      <w:r>
        <w:rPr>
          <w:rFonts w:hint="eastAsia"/>
          <w:b/>
          <w:bCs/>
          <w:sz w:val="24"/>
          <w:szCs w:val="24"/>
        </w:rPr>
        <w:t>表4</w:t>
      </w:r>
      <w:r>
        <w:rPr>
          <w:rFonts w:hint="eastAsia"/>
          <w:b/>
          <w:bCs/>
          <w:sz w:val="24"/>
          <w:szCs w:val="24"/>
          <w:lang w:val="en-US" w:eastAsia="zh-CN"/>
        </w:rPr>
        <w:t>.2</w:t>
      </w:r>
      <w:r>
        <w:rPr>
          <w:rFonts w:hint="eastAsia"/>
          <w:b/>
          <w:bCs/>
          <w:sz w:val="24"/>
          <w:szCs w:val="24"/>
        </w:rPr>
        <w:t>-</w:t>
      </w:r>
      <w:r>
        <w:rPr>
          <w:rFonts w:hint="eastAsia"/>
          <w:b/>
          <w:bCs/>
          <w:sz w:val="24"/>
          <w:szCs w:val="24"/>
          <w:lang w:val="en-US" w:eastAsia="zh-CN"/>
        </w:rPr>
        <w:t>4</w:t>
      </w:r>
      <w:r>
        <w:rPr>
          <w:rFonts w:hint="eastAsia"/>
          <w:b/>
          <w:bCs/>
          <w:sz w:val="24"/>
          <w:szCs w:val="24"/>
        </w:rPr>
        <w:t xml:space="preserve">  储罐油品泄漏事故源强计算一览表</w:t>
      </w:r>
    </w:p>
    <w:tbl>
      <w:tblPr>
        <w:tblStyle w:val="15"/>
        <w:tblW w:w="4893"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560"/>
        <w:gridCol w:w="1829"/>
        <w:gridCol w:w="1717"/>
        <w:gridCol w:w="1717"/>
        <w:gridCol w:w="151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35" w:type="pct"/>
            <w:vMerge w:val="restart"/>
            <w:tcBorders>
              <w:top w:val="single" w:color="auto" w:sz="12"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物料</w:t>
            </w:r>
          </w:p>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1096" w:type="pct"/>
            <w:vMerge w:val="restart"/>
            <w:tcBorders>
              <w:top w:val="single" w:color="auto" w:sz="12"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风速</w:t>
            </w:r>
          </w:p>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（m/s）</w:t>
            </w:r>
          </w:p>
        </w:tc>
        <w:tc>
          <w:tcPr>
            <w:tcW w:w="2967" w:type="pct"/>
            <w:gridSpan w:val="3"/>
            <w:tcBorders>
              <w:top w:val="single" w:color="auto" w:sz="12"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蒸发速率（kg/s）</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35" w:type="pct"/>
            <w:vMerge w:val="continue"/>
            <w:tcBorders>
              <w:top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p>
        </w:tc>
        <w:tc>
          <w:tcPr>
            <w:tcW w:w="1096" w:type="pct"/>
            <w:vMerge w:val="continue"/>
            <w:tcBorders>
              <w:top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p>
        </w:tc>
        <w:tc>
          <w:tcPr>
            <w:tcW w:w="1029" w:type="pct"/>
            <w:tcBorders>
              <w:top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w:t>
            </w:r>
          </w:p>
        </w:tc>
        <w:tc>
          <w:tcPr>
            <w:tcW w:w="1029" w:type="pct"/>
            <w:tcBorders>
              <w:top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w:t>
            </w:r>
          </w:p>
        </w:tc>
        <w:tc>
          <w:tcPr>
            <w:tcW w:w="907" w:type="pct"/>
            <w:tcBorders>
              <w:top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35" w:type="pct"/>
            <w:vMerge w:val="restart"/>
            <w:tcBorders>
              <w:top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汽油</w:t>
            </w:r>
          </w:p>
        </w:tc>
        <w:tc>
          <w:tcPr>
            <w:tcW w:w="1096" w:type="pct"/>
            <w:tcBorders>
              <w:top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w:t>
            </w:r>
          </w:p>
        </w:tc>
        <w:tc>
          <w:tcPr>
            <w:tcW w:w="1029" w:type="pct"/>
            <w:tcBorders>
              <w:top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54.78</w:t>
            </w:r>
          </w:p>
        </w:tc>
        <w:tc>
          <w:tcPr>
            <w:tcW w:w="1029" w:type="pct"/>
            <w:tcBorders>
              <w:top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59.29</w:t>
            </w:r>
          </w:p>
        </w:tc>
        <w:tc>
          <w:tcPr>
            <w:tcW w:w="907" w:type="pct"/>
            <w:tcBorders>
              <w:top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59.74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35" w:type="pct"/>
            <w:vMerge w:val="continue"/>
            <w:tcBorders>
              <w:top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p>
        </w:tc>
        <w:tc>
          <w:tcPr>
            <w:tcW w:w="1096" w:type="pct"/>
            <w:tcBorders>
              <w:top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w:t>
            </w:r>
          </w:p>
        </w:tc>
        <w:tc>
          <w:tcPr>
            <w:tcW w:w="1029" w:type="pct"/>
            <w:tcBorders>
              <w:top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15.72</w:t>
            </w:r>
          </w:p>
        </w:tc>
        <w:tc>
          <w:tcPr>
            <w:tcW w:w="1029" w:type="pct"/>
            <w:tcBorders>
              <w:top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18.09</w:t>
            </w:r>
          </w:p>
        </w:tc>
        <w:tc>
          <w:tcPr>
            <w:tcW w:w="907" w:type="pct"/>
            <w:tcBorders>
              <w:top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35" w:type="pct"/>
            <w:vMerge w:val="restart"/>
            <w:tcBorders>
              <w:top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柴油</w:t>
            </w:r>
          </w:p>
        </w:tc>
        <w:tc>
          <w:tcPr>
            <w:tcW w:w="1096" w:type="pct"/>
            <w:tcBorders>
              <w:top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w:t>
            </w:r>
          </w:p>
        </w:tc>
        <w:tc>
          <w:tcPr>
            <w:tcW w:w="1029" w:type="pct"/>
            <w:tcBorders>
              <w:top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44.07</w:t>
            </w:r>
          </w:p>
        </w:tc>
        <w:tc>
          <w:tcPr>
            <w:tcW w:w="1029" w:type="pct"/>
            <w:tcBorders>
              <w:top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47.82</w:t>
            </w:r>
          </w:p>
        </w:tc>
        <w:tc>
          <w:tcPr>
            <w:tcW w:w="907" w:type="pct"/>
            <w:tcBorders>
              <w:top w:val="single" w:color="auto" w:sz="6" w:space="0"/>
              <w:bottom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48.28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35" w:type="pct"/>
            <w:vMerge w:val="continue"/>
            <w:tcBorders>
              <w:top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p>
        </w:tc>
        <w:tc>
          <w:tcPr>
            <w:tcW w:w="1096" w:type="pct"/>
            <w:tcBorders>
              <w:top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w:t>
            </w:r>
          </w:p>
        </w:tc>
        <w:tc>
          <w:tcPr>
            <w:tcW w:w="1029" w:type="pct"/>
            <w:tcBorders>
              <w:top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12.65</w:t>
            </w:r>
          </w:p>
        </w:tc>
        <w:tc>
          <w:tcPr>
            <w:tcW w:w="1029" w:type="pct"/>
            <w:tcBorders>
              <w:top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14.59</w:t>
            </w:r>
          </w:p>
        </w:tc>
        <w:tc>
          <w:tcPr>
            <w:tcW w:w="907" w:type="pct"/>
            <w:tcBorders>
              <w:top w:val="single" w:color="auto" w:sz="6" w:space="0"/>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15.63</w:t>
            </w:r>
          </w:p>
        </w:tc>
      </w:tr>
    </w:tbl>
    <w:p>
      <w:pPr>
        <w:pStyle w:val="22"/>
        <w:keepNext w:val="0"/>
        <w:keepLines w:val="0"/>
        <w:pageBreakBefore w:val="0"/>
        <w:widowControl w:val="0"/>
        <w:kinsoku/>
        <w:wordWrap/>
        <w:overflowPunct/>
        <w:topLinePunct w:val="0"/>
        <w:autoSpaceDE/>
        <w:autoSpaceDN/>
        <w:bidi w:val="0"/>
        <w:adjustRightInd/>
        <w:snapToGrid/>
        <w:spacing w:before="0" w:beforeLines="0" w:after="0" w:afterLines="0"/>
        <w:textAlignment w:val="auto"/>
        <w:outlineLvl w:val="9"/>
        <w:rPr>
          <w:rFonts w:hint="eastAsia" w:eastAsia="宋体" w:cs="Times New Roman"/>
          <w:lang w:val="en-US" w:eastAsia="zh-CN"/>
        </w:rPr>
      </w:pPr>
    </w:p>
    <w:p>
      <w:pPr>
        <w:pStyle w:val="22"/>
        <w:keepNext w:val="0"/>
        <w:keepLines w:val="0"/>
        <w:pageBreakBefore w:val="0"/>
        <w:widowControl w:val="0"/>
        <w:kinsoku/>
        <w:wordWrap/>
        <w:overflowPunct/>
        <w:topLinePunct w:val="0"/>
        <w:autoSpaceDE/>
        <w:autoSpaceDN/>
        <w:bidi w:val="0"/>
        <w:adjustRightInd/>
        <w:snapToGrid/>
        <w:spacing w:before="0" w:beforeLines="0" w:after="0" w:afterLines="0"/>
        <w:textAlignment w:val="auto"/>
        <w:outlineLvl w:val="1"/>
        <w:rPr>
          <w:rFonts w:hint="eastAsia" w:ascii="Times New Roman" w:hAnsi="Times New Roman" w:eastAsia="宋体" w:cs="Times New Roman"/>
          <w:lang w:eastAsia="zh-CN"/>
        </w:rPr>
      </w:pPr>
      <w:bookmarkStart w:id="68" w:name="_Toc29080"/>
      <w:r>
        <w:rPr>
          <w:rFonts w:hint="eastAsia" w:eastAsia="宋体" w:cs="Times New Roman"/>
          <w:lang w:val="en-US" w:eastAsia="zh-CN"/>
        </w:rPr>
        <w:t>4.</w:t>
      </w:r>
      <w:r>
        <w:rPr>
          <w:rFonts w:hint="eastAsia" w:ascii="Times New Roman" w:hAnsi="Times New Roman" w:eastAsia="宋体" w:cs="Times New Roman"/>
          <w:lang w:val="en-US" w:eastAsia="zh-CN"/>
        </w:rPr>
        <w:t>2.3码头趸船油品泄露</w:t>
      </w:r>
      <w:bookmarkEnd w:id="68"/>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该码头采用浮码头结构形式，现有1个3000吨级游船泊位兼顾5000吨级游船泊位。本次评价假设泄露船体为3000吨级游船满载时发生泄露事故，采用费伊油品泄露模型预测油品在长江中的扩散距离。</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基础数据设定：当地年平均风速2.9m/s；10米高处平均风速3.6m/s（采用幂指数法求得）；长江九江段水流流速取较大值1.5m/s；水的比重1.0g/cm3；原油的比重0.8g/cm3；水的运动粘滞系数取1.0；费伊公式中K1取1.35，K2取1.60，K3取0.48；重力加速度g为9.8m/s。</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费伊模型将油品在河流中的泄露分为三个阶段，分别为惯性扩展阶段、粘性扩展阶段和表面张力扩展阶段。在惯性扩展阶段，油膜的直径随时间变化的函数为：</w:t>
      </w:r>
    </w:p>
    <w:p>
      <w:pPr>
        <w:pStyle w:val="1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1094740" cy="228600"/>
            <wp:effectExtent l="0" t="0" r="0" b="0"/>
            <wp:docPr id="6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
                    <pic:cNvPicPr>
                      <a:picLocks noChangeAspect="1"/>
                    </pic:cNvPicPr>
                  </pic:nvPicPr>
                  <pic:blipFill>
                    <a:blip r:embed="rId12"/>
                    <a:stretch>
                      <a:fillRect/>
                    </a:stretch>
                  </pic:blipFill>
                  <pic:spPr>
                    <a:xfrm>
                      <a:off x="0" y="0"/>
                      <a:ext cx="1094740" cy="228600"/>
                    </a:xfrm>
                    <a:prstGeom prst="rect">
                      <a:avLst/>
                    </a:prstGeom>
                    <a:noFill/>
                    <a:ln>
                      <a:noFill/>
                    </a:ln>
                  </pic:spPr>
                </pic:pic>
              </a:graphicData>
            </a:graphic>
          </wp:inline>
        </w:drawing>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式中：D-油膜直径，m；</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g-重力加速度；</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V-溢油总体积，m³</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t-从溢油开始计算所经历的时间，s;</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K1-惯性扩展阶段的经验系数；</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β=1-油的密度/水的密度，本次评价取0.8。</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粘性扩展阶段，油膜直径随时间变化的函数为：</w:t>
      </w:r>
    </w:p>
    <w:p>
      <w:pPr>
        <w:pStyle w:val="1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default" w:ascii="Times New Roman" w:hAnsi="Times New Roman" w:eastAsia="宋体" w:cs="Times New Roman"/>
          <w:kern w:val="2"/>
          <w:sz w:val="21"/>
          <w:szCs w:val="22"/>
        </w:rPr>
      </w:pPr>
      <w:r>
        <w:rPr>
          <w:rFonts w:hint="default" w:ascii="Times New Roman" w:hAnsi="Times New Roman" w:eastAsia="宋体" w:cs="Times New Roman"/>
          <w:kern w:val="2"/>
          <w:sz w:val="21"/>
          <w:szCs w:val="22"/>
        </w:rPr>
        <w:drawing>
          <wp:inline distT="0" distB="0" distL="114300" distR="114300">
            <wp:extent cx="1476375" cy="390525"/>
            <wp:effectExtent l="0" t="0" r="9525" b="8890"/>
            <wp:docPr id="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
                    <pic:cNvPicPr>
                      <a:picLocks noChangeAspect="1"/>
                    </pic:cNvPicPr>
                  </pic:nvPicPr>
                  <pic:blipFill>
                    <a:blip r:embed="rId13"/>
                    <a:stretch>
                      <a:fillRect/>
                    </a:stretch>
                  </pic:blipFill>
                  <pic:spPr>
                    <a:xfrm>
                      <a:off x="0" y="0"/>
                      <a:ext cx="1476375" cy="390525"/>
                    </a:xfrm>
                    <a:prstGeom prst="rect">
                      <a:avLst/>
                    </a:prstGeom>
                    <a:noFill/>
                    <a:ln>
                      <a:noFill/>
                    </a:ln>
                  </pic:spPr>
                </pic:pic>
              </a:graphicData>
            </a:graphic>
          </wp:inline>
        </w:drawing>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式中：</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object>
          <v:shape id="_x0000_i1025" o:spt="75" type="#_x0000_t75" style="height:18pt;width:15pt;" o:ole="t" filled="f" stroked="f" coordsize="21600,21600">
            <v:path/>
            <v:fill on="f" focussize="0,0"/>
            <v:stroke on="f"/>
            <v:imagedata r:id="rId15" o:title=""/>
            <o:lock v:ext="edit" aspectratio="t"/>
            <w10:wrap type="none"/>
            <w10:anchorlock/>
          </v:shape>
          <o:OLEObject Type="Embed" ProgID="Unknown" ShapeID="_x0000_i1025" DrawAspect="Content" ObjectID="_1468075725" r:id="rId14">
            <o:LockedField>false</o:LockedField>
          </o:OLEObject>
        </w:object>
      </w:r>
      <w:r>
        <w:rPr>
          <w:rFonts w:hint="default" w:ascii="Times New Roman" w:hAnsi="Times New Roman" w:eastAsia="宋体" w:cs="Times New Roman"/>
        </w:rPr>
        <w:t>-水的运动粘滞系数；</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K2-粘性扩展阶段的经验系数。</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表面张力扩展阶段，油膜的直径随时间变化的函数为：</w:t>
      </w:r>
    </w:p>
    <w:p>
      <w:pPr>
        <w:pStyle w:val="1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kern w:val="2"/>
          <w:sz w:val="21"/>
          <w:szCs w:val="22"/>
        </w:rPr>
        <w:drawing>
          <wp:inline distT="0" distB="0" distL="114300" distR="114300">
            <wp:extent cx="1495425" cy="609600"/>
            <wp:effectExtent l="0" t="0" r="9525" b="0"/>
            <wp:docPr id="6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
                    <pic:cNvPicPr>
                      <a:picLocks noChangeAspect="1"/>
                    </pic:cNvPicPr>
                  </pic:nvPicPr>
                  <pic:blipFill>
                    <a:blip r:embed="rId16"/>
                    <a:stretch>
                      <a:fillRect/>
                    </a:stretch>
                  </pic:blipFill>
                  <pic:spPr>
                    <a:xfrm>
                      <a:off x="0" y="0"/>
                      <a:ext cx="1495425" cy="609600"/>
                    </a:xfrm>
                    <a:prstGeom prst="rect">
                      <a:avLst/>
                    </a:prstGeom>
                    <a:noFill/>
                    <a:ln>
                      <a:noFill/>
                    </a:ln>
                  </pic:spPr>
                </pic:pic>
              </a:graphicData>
            </a:graphic>
          </wp:inline>
        </w:drawing>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式中：</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228600" cy="228600"/>
            <wp:effectExtent l="0" t="0" r="0" b="0"/>
            <wp:docPr id="6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pic:cNvPicPr>
                      <a:picLocks noChangeAspect="1"/>
                    </pic:cNvPicPr>
                  </pic:nvPicPr>
                  <pic:blipFill>
                    <a:blip r:embed="rId17"/>
                    <a:stretch>
                      <a:fillRect/>
                    </a:stretch>
                  </pic:blipFill>
                  <pic:spPr>
                    <a:xfrm>
                      <a:off x="0" y="0"/>
                      <a:ext cx="228600" cy="228600"/>
                    </a:xfrm>
                    <a:prstGeom prst="rect">
                      <a:avLst/>
                    </a:prstGeom>
                    <a:noFill/>
                    <a:ln>
                      <a:noFill/>
                    </a:ln>
                  </pic:spPr>
                </pic:pic>
              </a:graphicData>
            </a:graphic>
          </wp:inline>
        </w:drawing>
      </w:r>
      <w:r>
        <w:rPr>
          <w:rFonts w:hint="default" w:ascii="Times New Roman" w:hAnsi="Times New Roman" w:eastAsia="宋体" w:cs="Times New Roman"/>
        </w:rPr>
        <w:t>-空气与水之间的表面张力；</w:t>
      </w:r>
      <w:r>
        <w:rPr>
          <w:rFonts w:hint="default" w:ascii="Times New Roman" w:hAnsi="Times New Roman" w:eastAsia="宋体" w:cs="Times New Roman"/>
        </w:rPr>
        <w:drawing>
          <wp:inline distT="0" distB="0" distL="114300" distR="114300">
            <wp:extent cx="542925" cy="200025"/>
            <wp:effectExtent l="0" t="0" r="9525" b="762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pic:cNvPicPr>
                  </pic:nvPicPr>
                  <pic:blipFill>
                    <a:blip r:embed="rId18"/>
                    <a:stretch>
                      <a:fillRect/>
                    </a:stretch>
                  </pic:blipFill>
                  <pic:spPr>
                    <a:xfrm>
                      <a:off x="0" y="0"/>
                      <a:ext cx="542925" cy="200025"/>
                    </a:xfrm>
                    <a:prstGeom prst="rect">
                      <a:avLst/>
                    </a:prstGeom>
                    <a:noFill/>
                    <a:ln>
                      <a:noFill/>
                    </a:ln>
                  </pic:spPr>
                </pic:pic>
              </a:graphicData>
            </a:graphic>
          </wp:inline>
        </w:drawing>
      </w:r>
      <w:r>
        <w:rPr>
          <w:rFonts w:hint="default" w:ascii="Times New Roman" w:hAnsi="Times New Roman" w:eastAsia="宋体" w:cs="Times New Roman"/>
        </w:rPr>
        <w:t>N/m</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219075" cy="228600"/>
            <wp:effectExtent l="0" t="0" r="8890" b="0"/>
            <wp:docPr id="6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1"/>
                    <pic:cNvPicPr>
                      <a:picLocks noChangeAspect="1"/>
                    </pic:cNvPicPr>
                  </pic:nvPicPr>
                  <pic:blipFill>
                    <a:blip r:embed="rId19"/>
                    <a:stretch>
                      <a:fillRect/>
                    </a:stretch>
                  </pic:blipFill>
                  <pic:spPr>
                    <a:xfrm>
                      <a:off x="0" y="0"/>
                      <a:ext cx="219075" cy="228600"/>
                    </a:xfrm>
                    <a:prstGeom prst="rect">
                      <a:avLst/>
                    </a:prstGeom>
                    <a:noFill/>
                    <a:ln>
                      <a:noFill/>
                    </a:ln>
                  </pic:spPr>
                </pic:pic>
              </a:graphicData>
            </a:graphic>
          </wp:inline>
        </w:drawing>
      </w:r>
      <w:r>
        <w:rPr>
          <w:rFonts w:hint="default" w:ascii="Times New Roman" w:hAnsi="Times New Roman" w:eastAsia="宋体" w:cs="Times New Roman"/>
        </w:rPr>
        <w:t>-油与空气之间的表面张力</w:t>
      </w:r>
      <w:r>
        <w:rPr>
          <w:rFonts w:hint="default" w:ascii="Times New Roman" w:hAnsi="Times New Roman" w:eastAsia="宋体" w:cs="Times New Roman"/>
        </w:rPr>
        <w:drawing>
          <wp:inline distT="0" distB="0" distL="114300" distR="114300">
            <wp:extent cx="542925" cy="200025"/>
            <wp:effectExtent l="0" t="0" r="9525" b="7620"/>
            <wp:docPr id="6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2"/>
                    <pic:cNvPicPr>
                      <a:picLocks noChangeAspect="1"/>
                    </pic:cNvPicPr>
                  </pic:nvPicPr>
                  <pic:blipFill>
                    <a:blip r:embed="rId20"/>
                    <a:stretch>
                      <a:fillRect/>
                    </a:stretch>
                  </pic:blipFill>
                  <pic:spPr>
                    <a:xfrm>
                      <a:off x="0" y="0"/>
                      <a:ext cx="542925" cy="200025"/>
                    </a:xfrm>
                    <a:prstGeom prst="rect">
                      <a:avLst/>
                    </a:prstGeom>
                    <a:noFill/>
                    <a:ln>
                      <a:noFill/>
                    </a:ln>
                  </pic:spPr>
                </pic:pic>
              </a:graphicData>
            </a:graphic>
          </wp:inline>
        </w:drawing>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228600" cy="228600"/>
            <wp:effectExtent l="0" t="0" r="0" b="0"/>
            <wp:docPr id="7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
                    <pic:cNvPicPr>
                      <a:picLocks noChangeAspect="1"/>
                    </pic:cNvPicPr>
                  </pic:nvPicPr>
                  <pic:blipFill>
                    <a:blip r:embed="rId21"/>
                    <a:stretch>
                      <a:fillRect/>
                    </a:stretch>
                  </pic:blipFill>
                  <pic:spPr>
                    <a:xfrm>
                      <a:off x="0" y="0"/>
                      <a:ext cx="228600" cy="228600"/>
                    </a:xfrm>
                    <a:prstGeom prst="rect">
                      <a:avLst/>
                    </a:prstGeom>
                    <a:noFill/>
                    <a:ln>
                      <a:noFill/>
                    </a:ln>
                  </pic:spPr>
                </pic:pic>
              </a:graphicData>
            </a:graphic>
          </wp:inline>
        </w:drawing>
      </w:r>
      <w:r>
        <w:rPr>
          <w:rFonts w:hint="default" w:ascii="Times New Roman" w:hAnsi="Times New Roman" w:eastAsia="宋体" w:cs="Times New Roman"/>
        </w:rPr>
        <w:t>-油与水之间的表面张力</w:t>
      </w:r>
      <w:r>
        <w:rPr>
          <w:rFonts w:hint="default" w:ascii="Times New Roman" w:hAnsi="Times New Roman" w:eastAsia="宋体" w:cs="Times New Roman"/>
        </w:rPr>
        <w:drawing>
          <wp:inline distT="0" distB="0" distL="114300" distR="114300">
            <wp:extent cx="533400" cy="200025"/>
            <wp:effectExtent l="0" t="0" r="0" b="7620"/>
            <wp:docPr id="7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4"/>
                    <pic:cNvPicPr>
                      <a:picLocks noChangeAspect="1"/>
                    </pic:cNvPicPr>
                  </pic:nvPicPr>
                  <pic:blipFill>
                    <a:blip r:embed="rId22"/>
                    <a:stretch>
                      <a:fillRect/>
                    </a:stretch>
                  </pic:blipFill>
                  <pic:spPr>
                    <a:xfrm>
                      <a:off x="0" y="0"/>
                      <a:ext cx="533400" cy="200025"/>
                    </a:xfrm>
                    <a:prstGeom prst="rect">
                      <a:avLst/>
                    </a:prstGeom>
                    <a:noFill/>
                    <a:ln>
                      <a:noFill/>
                    </a:ln>
                  </pic:spPr>
                </pic:pic>
              </a:graphicData>
            </a:graphic>
          </wp:inline>
        </w:drawing>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在扩展结束之后，油膜直径保持不变，面积为：</w:t>
      </w:r>
    </w:p>
    <w:p>
      <w:pPr>
        <w:pStyle w:val="1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800100" cy="276225"/>
            <wp:effectExtent l="0" t="0" r="0" b="8255"/>
            <wp:docPr id="7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5"/>
                    <pic:cNvPicPr>
                      <a:picLocks noChangeAspect="1"/>
                    </pic:cNvPicPr>
                  </pic:nvPicPr>
                  <pic:blipFill>
                    <a:blip r:embed="rId23"/>
                    <a:stretch>
                      <a:fillRect/>
                    </a:stretch>
                  </pic:blipFill>
                  <pic:spPr>
                    <a:xfrm>
                      <a:off x="0" y="0"/>
                      <a:ext cx="800100" cy="276225"/>
                    </a:xfrm>
                    <a:prstGeom prst="rect">
                      <a:avLst/>
                    </a:prstGeom>
                    <a:noFill/>
                    <a:ln>
                      <a:noFill/>
                    </a:ln>
                  </pic:spPr>
                </pic:pic>
              </a:graphicData>
            </a:graphic>
          </wp:inline>
        </w:drawing>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油入水后很快扩展成油膜，然后在水流、风速作用下产生漂移，同时溢油本身扩散的等效圆油膜还在不断的扩散增大，因此溢油污染范围是个不断扩大而漂移的等效圆油膜所经过的水域面积。漂移与扩展不同，它与油量无关，漂移大小通常以油膜等效圆中心位移来判断。如果油膜中心初始位置为S0，经过t时间后，其位置S由下式计算：</w:t>
      </w:r>
    </w:p>
    <w:p>
      <w:pPr>
        <w:pStyle w:val="1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1133475" cy="333375"/>
            <wp:effectExtent l="0" t="0" r="0" b="8255"/>
            <wp:docPr id="7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6"/>
                    <pic:cNvPicPr>
                      <a:picLocks noChangeAspect="1"/>
                    </pic:cNvPicPr>
                  </pic:nvPicPr>
                  <pic:blipFill>
                    <a:blip r:embed="rId24"/>
                    <a:stretch>
                      <a:fillRect/>
                    </a:stretch>
                  </pic:blipFill>
                  <pic:spPr>
                    <a:xfrm>
                      <a:off x="0" y="0"/>
                      <a:ext cx="1133475" cy="333375"/>
                    </a:xfrm>
                    <a:prstGeom prst="rect">
                      <a:avLst/>
                    </a:prstGeom>
                    <a:noFill/>
                    <a:ln>
                      <a:noFill/>
                    </a:ln>
                  </pic:spPr>
                </pic:pic>
              </a:graphicData>
            </a:graphic>
          </wp:inline>
        </w:drawing>
      </w:r>
    </w:p>
    <w:p>
      <w:pPr>
        <w:pStyle w:val="1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762000" cy="238125"/>
            <wp:effectExtent l="0" t="0" r="0" b="8255"/>
            <wp:docPr id="7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7"/>
                    <pic:cNvPicPr>
                      <a:picLocks noChangeAspect="1"/>
                    </pic:cNvPicPr>
                  </pic:nvPicPr>
                  <pic:blipFill>
                    <a:blip r:embed="rId25"/>
                    <a:stretch>
                      <a:fillRect/>
                    </a:stretch>
                  </pic:blipFill>
                  <pic:spPr>
                    <a:xfrm>
                      <a:off x="0" y="0"/>
                      <a:ext cx="762000" cy="238125"/>
                    </a:xfrm>
                    <a:prstGeom prst="rect">
                      <a:avLst/>
                    </a:prstGeom>
                    <a:noFill/>
                    <a:ln>
                      <a:noFill/>
                    </a:ln>
                  </pic:spPr>
                </pic:pic>
              </a:graphicData>
            </a:graphic>
          </wp:inline>
        </w:drawing>
      </w:r>
    </w:p>
    <w:p>
      <w:pPr>
        <w:pStyle w:val="19"/>
        <w:rPr>
          <w:rFonts w:hint="default" w:ascii="Times New Roman" w:hAnsi="Times New Roman" w:eastAsia="宋体" w:cs="Times New Roman"/>
        </w:rPr>
      </w:pPr>
      <w:r>
        <w:rPr>
          <w:rFonts w:hint="default" w:ascii="Times New Roman" w:hAnsi="Times New Roman" w:eastAsia="宋体" w:cs="Times New Roman"/>
        </w:rPr>
        <w:t>式中：</w:t>
      </w:r>
    </w:p>
    <w:p>
      <w:pPr>
        <w:pStyle w:val="19"/>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200025" cy="228600"/>
            <wp:effectExtent l="0" t="0" r="9525" b="0"/>
            <wp:docPr id="7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8"/>
                    <pic:cNvPicPr>
                      <a:picLocks noChangeAspect="1"/>
                    </pic:cNvPicPr>
                  </pic:nvPicPr>
                  <pic:blipFill>
                    <a:blip r:embed="rId26"/>
                    <a:stretch>
                      <a:fillRect/>
                    </a:stretch>
                  </pic:blipFill>
                  <pic:spPr>
                    <a:xfrm>
                      <a:off x="0" y="0"/>
                      <a:ext cx="200025" cy="228600"/>
                    </a:xfrm>
                    <a:prstGeom prst="rect">
                      <a:avLst/>
                    </a:prstGeom>
                    <a:noFill/>
                    <a:ln>
                      <a:noFill/>
                    </a:ln>
                  </pic:spPr>
                </pic:pic>
              </a:graphicData>
            </a:graphic>
          </wp:inline>
        </w:drawing>
      </w:r>
      <w:r>
        <w:rPr>
          <w:rFonts w:hint="eastAsia" w:cs="Times New Roman"/>
          <w:lang w:val="en-US" w:eastAsia="zh-CN"/>
        </w:rPr>
        <w:t>-</w:t>
      </w:r>
      <w:r>
        <w:rPr>
          <w:rFonts w:hint="default" w:ascii="Times New Roman" w:hAnsi="Times New Roman" w:eastAsia="宋体" w:cs="Times New Roman"/>
        </w:rPr>
        <w:t>取水面10m高处风速的0.03倍，m/s；</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综上所述，扩展结束之后，油膜直径保持不变，油膜的面积为：</w:t>
      </w:r>
    </w:p>
    <w:p>
      <w:pPr>
        <w:pStyle w:val="1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228600" cy="200025"/>
            <wp:effectExtent l="0" t="0" r="0" b="6985"/>
            <wp:docPr id="7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9"/>
                    <pic:cNvPicPr>
                      <a:picLocks noChangeAspect="1"/>
                    </pic:cNvPicPr>
                  </pic:nvPicPr>
                  <pic:blipFill>
                    <a:blip r:embed="rId27"/>
                    <a:stretch>
                      <a:fillRect/>
                    </a:stretch>
                  </pic:blipFill>
                  <pic:spPr>
                    <a:xfrm>
                      <a:off x="0" y="0"/>
                      <a:ext cx="228600" cy="200025"/>
                    </a:xfrm>
                    <a:prstGeom prst="rect">
                      <a:avLst/>
                    </a:prstGeom>
                    <a:noFill/>
                    <a:ln>
                      <a:noFill/>
                    </a:ln>
                  </pic:spPr>
                </pic:pic>
              </a:graphicData>
            </a:graphic>
          </wp:inline>
        </w:drawing>
      </w:r>
      <w:r>
        <w:rPr>
          <w:rFonts w:hint="default" w:ascii="Times New Roman" w:hAnsi="Times New Roman" w:eastAsia="宋体" w:cs="Times New Roman"/>
        </w:rPr>
        <w:t>=</w:t>
      </w:r>
      <w:r>
        <w:rPr>
          <w:rFonts w:hint="default" w:ascii="Times New Roman" w:hAnsi="Times New Roman" w:eastAsia="宋体" w:cs="Times New Roman"/>
        </w:rPr>
        <w:drawing>
          <wp:inline distT="0" distB="0" distL="114300" distR="114300">
            <wp:extent cx="771525" cy="257175"/>
            <wp:effectExtent l="0" t="0" r="9525" b="8255"/>
            <wp:docPr id="7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0"/>
                    <pic:cNvPicPr>
                      <a:picLocks noChangeAspect="1"/>
                    </pic:cNvPicPr>
                  </pic:nvPicPr>
                  <pic:blipFill>
                    <a:blip r:embed="rId28"/>
                    <a:stretch>
                      <a:fillRect/>
                    </a:stretch>
                  </pic:blipFill>
                  <pic:spPr>
                    <a:xfrm>
                      <a:off x="0" y="0"/>
                      <a:ext cx="771525" cy="257175"/>
                    </a:xfrm>
                    <a:prstGeom prst="rect">
                      <a:avLst/>
                    </a:prstGeom>
                    <a:noFill/>
                    <a:ln>
                      <a:noFill/>
                    </a:ln>
                  </pic:spPr>
                </pic:pic>
              </a:graphicData>
            </a:graphic>
          </wp:inline>
        </w:drawing>
      </w:r>
      <w:r>
        <w:rPr>
          <w:rFonts w:hint="default" w:ascii="Times New Roman" w:hAnsi="Times New Roman" w:eastAsia="宋体" w:cs="Times New Roman"/>
        </w:rPr>
        <w:t>=4.05×10</w:t>
      </w:r>
      <w:r>
        <w:rPr>
          <w:rFonts w:hint="default" w:ascii="Times New Roman" w:hAnsi="Times New Roman" w:eastAsia="宋体" w:cs="Times New Roman"/>
          <w:vertAlign w:val="superscript"/>
        </w:rPr>
        <w:t>7</w:t>
      </w:r>
      <w:r>
        <w:rPr>
          <w:rFonts w:hint="default" w:ascii="Times New Roman" w:hAnsi="Times New Roman" w:eastAsia="宋体" w:cs="Times New Roman"/>
        </w:rPr>
        <w:t>m</w:t>
      </w:r>
      <w:r>
        <w:rPr>
          <w:rFonts w:hint="default" w:ascii="Times New Roman" w:hAnsi="Times New Roman" w:eastAsia="宋体" w:cs="Times New Roman"/>
          <w:vertAlign w:val="superscript"/>
        </w:rPr>
        <w:t>2</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油膜中心位置随时间推移的位移见下表：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4"/>
          <w:szCs w:val="24"/>
        </w:rPr>
      </w:pPr>
      <w:r>
        <w:rPr>
          <w:rFonts w:hint="eastAsia"/>
          <w:b/>
          <w:bCs/>
          <w:sz w:val="24"/>
          <w:szCs w:val="24"/>
        </w:rPr>
        <w:t>表4</w:t>
      </w:r>
      <w:r>
        <w:rPr>
          <w:rFonts w:hint="eastAsia"/>
          <w:b/>
          <w:bCs/>
          <w:sz w:val="24"/>
          <w:szCs w:val="24"/>
          <w:lang w:val="en-US" w:eastAsia="zh-CN"/>
        </w:rPr>
        <w:t>.2</w:t>
      </w:r>
      <w:r>
        <w:rPr>
          <w:rFonts w:hint="eastAsia"/>
          <w:b/>
          <w:bCs/>
          <w:sz w:val="24"/>
          <w:szCs w:val="24"/>
        </w:rPr>
        <w:t>-</w:t>
      </w:r>
      <w:r>
        <w:rPr>
          <w:rFonts w:hint="eastAsia"/>
          <w:b/>
          <w:bCs/>
          <w:sz w:val="24"/>
          <w:szCs w:val="24"/>
          <w:lang w:val="en-US" w:eastAsia="zh-CN"/>
        </w:rPr>
        <w:t>5</w:t>
      </w:r>
      <w:r>
        <w:rPr>
          <w:rFonts w:hint="eastAsia"/>
          <w:b/>
          <w:bCs/>
          <w:sz w:val="24"/>
          <w:szCs w:val="24"/>
        </w:rPr>
        <w:t xml:space="preserve">  油膜中心位置位移表</w:t>
      </w:r>
    </w:p>
    <w:tbl>
      <w:tblPr>
        <w:tblStyle w:val="1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65"/>
        <w:gridCol w:w="2765"/>
        <w:gridCol w:w="27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765" w:type="dxa"/>
            <w:tcBorders>
              <w:tl2br w:val="nil"/>
              <w:tr2bl w:val="nil"/>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S(m)</w:t>
            </w:r>
          </w:p>
        </w:tc>
        <w:tc>
          <w:tcPr>
            <w:tcW w:w="2765" w:type="dxa"/>
            <w:tcBorders>
              <w:tl2br w:val="nil"/>
              <w:tr2bl w:val="nil"/>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152400" cy="228600"/>
                  <wp:effectExtent l="0" t="0" r="0" b="0"/>
                  <wp:docPr id="7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1"/>
                          <pic:cNvPicPr>
                            <a:picLocks noChangeAspect="1"/>
                          </pic:cNvPicPr>
                        </pic:nvPicPr>
                        <pic:blipFill>
                          <a:blip r:embed="rId29"/>
                          <a:stretch>
                            <a:fillRect/>
                          </a:stretch>
                        </pic:blipFill>
                        <pic:spPr>
                          <a:xfrm>
                            <a:off x="0" y="0"/>
                            <a:ext cx="152400" cy="228600"/>
                          </a:xfrm>
                          <a:prstGeom prst="rect">
                            <a:avLst/>
                          </a:prstGeom>
                          <a:noFill/>
                          <a:ln>
                            <a:noFill/>
                          </a:ln>
                        </pic:spPr>
                      </pic:pic>
                    </a:graphicData>
                  </a:graphic>
                </wp:inline>
              </w:drawing>
            </w:r>
            <w:r>
              <w:rPr>
                <w:rFonts w:hint="default" w:ascii="Times New Roman" w:hAnsi="Times New Roman" w:eastAsia="宋体" w:cs="Times New Roman"/>
                <w:sz w:val="21"/>
                <w:szCs w:val="21"/>
              </w:rPr>
              <w:t>m/s</w:t>
            </w:r>
          </w:p>
        </w:tc>
        <w:tc>
          <w:tcPr>
            <w:tcW w:w="2766" w:type="dxa"/>
            <w:tcBorders>
              <w:tl2br w:val="nil"/>
              <w:tr2bl w:val="nil"/>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765" w:type="dxa"/>
            <w:tcBorders>
              <w:tl2br w:val="nil"/>
              <w:tr2bl w:val="nil"/>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2765" w:type="dxa"/>
            <w:vMerge w:val="restart"/>
            <w:tcBorders>
              <w:tl2br w:val="nil"/>
              <w:tr2bl w:val="nil"/>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1.608</w:t>
            </w:r>
          </w:p>
        </w:tc>
        <w:tc>
          <w:tcPr>
            <w:tcW w:w="2766" w:type="dxa"/>
            <w:tcBorders>
              <w:tl2br w:val="nil"/>
              <w:tr2bl w:val="nil"/>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2765" w:type="dxa"/>
            <w:tcBorders>
              <w:tl2br w:val="nil"/>
              <w:tr2bl w:val="nil"/>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48</w:t>
            </w:r>
          </w:p>
        </w:tc>
        <w:tc>
          <w:tcPr>
            <w:tcW w:w="2765" w:type="dxa"/>
            <w:vMerge w:val="continue"/>
            <w:tcBorders>
              <w:tl2br w:val="nil"/>
              <w:tr2bl w:val="nil"/>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p>
        </w:tc>
        <w:tc>
          <w:tcPr>
            <w:tcW w:w="2766" w:type="dxa"/>
            <w:tcBorders>
              <w:tl2br w:val="nil"/>
              <w:tr2bl w:val="nil"/>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2765" w:type="dxa"/>
            <w:tcBorders>
              <w:tl2br w:val="nil"/>
              <w:tr2bl w:val="nil"/>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96</w:t>
            </w:r>
          </w:p>
        </w:tc>
        <w:tc>
          <w:tcPr>
            <w:tcW w:w="2765" w:type="dxa"/>
            <w:vMerge w:val="continue"/>
            <w:tcBorders>
              <w:tl2br w:val="nil"/>
              <w:tr2bl w:val="nil"/>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p>
        </w:tc>
        <w:tc>
          <w:tcPr>
            <w:tcW w:w="2766" w:type="dxa"/>
            <w:tcBorders>
              <w:tl2br w:val="nil"/>
              <w:tr2bl w:val="nil"/>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765" w:type="dxa"/>
            <w:tcBorders>
              <w:tl2br w:val="nil"/>
              <w:tr2bl w:val="nil"/>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193</w:t>
            </w:r>
          </w:p>
        </w:tc>
        <w:tc>
          <w:tcPr>
            <w:tcW w:w="2765" w:type="dxa"/>
            <w:vMerge w:val="continue"/>
            <w:tcBorders>
              <w:tl2br w:val="nil"/>
              <w:tr2bl w:val="nil"/>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p>
        </w:tc>
        <w:tc>
          <w:tcPr>
            <w:tcW w:w="2766" w:type="dxa"/>
            <w:tcBorders>
              <w:tl2br w:val="nil"/>
              <w:tr2bl w:val="nil"/>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765" w:type="dxa"/>
            <w:tcBorders>
              <w:tl2br w:val="nil"/>
              <w:tr2bl w:val="nil"/>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321.6</w:t>
            </w:r>
          </w:p>
        </w:tc>
        <w:tc>
          <w:tcPr>
            <w:tcW w:w="2765" w:type="dxa"/>
            <w:vMerge w:val="continue"/>
            <w:tcBorders>
              <w:tl2br w:val="nil"/>
              <w:tr2bl w:val="nil"/>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p>
        </w:tc>
        <w:tc>
          <w:tcPr>
            <w:tcW w:w="2766" w:type="dxa"/>
            <w:tcBorders>
              <w:tl2br w:val="nil"/>
              <w:tr2bl w:val="nil"/>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765" w:type="dxa"/>
            <w:tcBorders>
              <w:tl2br w:val="nil"/>
              <w:tr2bl w:val="nil"/>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482.4</w:t>
            </w:r>
          </w:p>
        </w:tc>
        <w:tc>
          <w:tcPr>
            <w:tcW w:w="2765" w:type="dxa"/>
            <w:vMerge w:val="continue"/>
            <w:tcBorders>
              <w:tl2br w:val="nil"/>
              <w:tr2bl w:val="nil"/>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p>
        </w:tc>
        <w:tc>
          <w:tcPr>
            <w:tcW w:w="2766" w:type="dxa"/>
            <w:tcBorders>
              <w:tl2br w:val="nil"/>
              <w:tr2bl w:val="nil"/>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765" w:type="dxa"/>
            <w:tcBorders>
              <w:tl2br w:val="nil"/>
              <w:tr2bl w:val="nil"/>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643</w:t>
            </w:r>
          </w:p>
        </w:tc>
        <w:tc>
          <w:tcPr>
            <w:tcW w:w="2765" w:type="dxa"/>
            <w:vMerge w:val="continue"/>
            <w:tcBorders>
              <w:tl2br w:val="nil"/>
              <w:tr2bl w:val="nil"/>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p>
        </w:tc>
        <w:tc>
          <w:tcPr>
            <w:tcW w:w="2766" w:type="dxa"/>
            <w:tcBorders>
              <w:tl2br w:val="nil"/>
              <w:tr2bl w:val="nil"/>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765" w:type="dxa"/>
            <w:tcBorders>
              <w:tl2br w:val="nil"/>
              <w:tr2bl w:val="nil"/>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804</w:t>
            </w:r>
          </w:p>
        </w:tc>
        <w:tc>
          <w:tcPr>
            <w:tcW w:w="2765" w:type="dxa"/>
            <w:vMerge w:val="continue"/>
            <w:tcBorders>
              <w:tl2br w:val="nil"/>
              <w:tr2bl w:val="nil"/>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p>
        </w:tc>
        <w:tc>
          <w:tcPr>
            <w:tcW w:w="2766" w:type="dxa"/>
            <w:tcBorders>
              <w:tl2br w:val="nil"/>
              <w:tr2bl w:val="nil"/>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765" w:type="dxa"/>
            <w:tcBorders>
              <w:tl2br w:val="nil"/>
              <w:tr2bl w:val="nil"/>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964.8</w:t>
            </w:r>
          </w:p>
        </w:tc>
        <w:tc>
          <w:tcPr>
            <w:tcW w:w="2765" w:type="dxa"/>
            <w:vMerge w:val="continue"/>
            <w:tcBorders>
              <w:tl2br w:val="nil"/>
              <w:tr2bl w:val="nil"/>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p>
        </w:tc>
        <w:tc>
          <w:tcPr>
            <w:tcW w:w="2766" w:type="dxa"/>
            <w:tcBorders>
              <w:tl2br w:val="nil"/>
              <w:tr2bl w:val="nil"/>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765" w:type="dxa"/>
            <w:tcBorders>
              <w:tl2br w:val="nil"/>
              <w:tr2bl w:val="nil"/>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1929.6</w:t>
            </w:r>
          </w:p>
        </w:tc>
        <w:tc>
          <w:tcPr>
            <w:tcW w:w="2765" w:type="dxa"/>
            <w:vMerge w:val="continue"/>
            <w:tcBorders>
              <w:tl2br w:val="nil"/>
              <w:tr2bl w:val="nil"/>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p>
        </w:tc>
        <w:tc>
          <w:tcPr>
            <w:tcW w:w="2766" w:type="dxa"/>
            <w:tcBorders>
              <w:tl2br w:val="nil"/>
              <w:tr2bl w:val="nil"/>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765" w:type="dxa"/>
            <w:tcBorders>
              <w:tl2br w:val="nil"/>
              <w:tr2bl w:val="nil"/>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2894.4</w:t>
            </w:r>
          </w:p>
        </w:tc>
        <w:tc>
          <w:tcPr>
            <w:tcW w:w="2765" w:type="dxa"/>
            <w:vMerge w:val="continue"/>
            <w:tcBorders>
              <w:tl2br w:val="nil"/>
              <w:tr2bl w:val="nil"/>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p>
        </w:tc>
        <w:tc>
          <w:tcPr>
            <w:tcW w:w="2766" w:type="dxa"/>
            <w:tcBorders>
              <w:tl2br w:val="nil"/>
              <w:tr2bl w:val="nil"/>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765" w:type="dxa"/>
            <w:tcBorders>
              <w:tl2br w:val="nil"/>
              <w:tr2bl w:val="nil"/>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3859.2</w:t>
            </w:r>
          </w:p>
        </w:tc>
        <w:tc>
          <w:tcPr>
            <w:tcW w:w="2765" w:type="dxa"/>
            <w:vMerge w:val="continue"/>
            <w:tcBorders>
              <w:tl2br w:val="nil"/>
              <w:tr2bl w:val="nil"/>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p>
        </w:tc>
        <w:tc>
          <w:tcPr>
            <w:tcW w:w="2766" w:type="dxa"/>
            <w:tcBorders>
              <w:tl2br w:val="nil"/>
              <w:tr2bl w:val="nil"/>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765" w:type="dxa"/>
            <w:tcBorders>
              <w:tl2br w:val="nil"/>
              <w:tr2bl w:val="nil"/>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5788.8</w:t>
            </w:r>
          </w:p>
        </w:tc>
        <w:tc>
          <w:tcPr>
            <w:tcW w:w="2765" w:type="dxa"/>
            <w:vMerge w:val="continue"/>
            <w:tcBorders>
              <w:tl2br w:val="nil"/>
              <w:tr2bl w:val="nil"/>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p>
        </w:tc>
        <w:tc>
          <w:tcPr>
            <w:tcW w:w="2766" w:type="dxa"/>
            <w:tcBorders>
              <w:tl2br w:val="nil"/>
              <w:tr2bl w:val="nil"/>
            </w:tcBorders>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3600</w:t>
            </w:r>
          </w:p>
        </w:tc>
      </w:tr>
    </w:tbl>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4"/>
          <w:szCs w:val="24"/>
        </w:rPr>
      </w:pPr>
      <w:r>
        <w:rPr>
          <w:rFonts w:hint="eastAsia"/>
          <w:b/>
          <w:bCs/>
          <w:sz w:val="24"/>
          <w:szCs w:val="24"/>
        </w:rPr>
        <w:t>表4</w:t>
      </w:r>
      <w:r>
        <w:rPr>
          <w:rFonts w:hint="eastAsia"/>
          <w:b/>
          <w:bCs/>
          <w:sz w:val="24"/>
          <w:szCs w:val="24"/>
          <w:lang w:val="en-US" w:eastAsia="zh-CN"/>
        </w:rPr>
        <w:t>.2</w:t>
      </w:r>
      <w:r>
        <w:rPr>
          <w:rFonts w:hint="eastAsia"/>
          <w:b/>
          <w:bCs/>
          <w:sz w:val="24"/>
          <w:szCs w:val="24"/>
        </w:rPr>
        <w:t>-</w:t>
      </w:r>
      <w:r>
        <w:rPr>
          <w:rFonts w:hint="eastAsia"/>
          <w:b/>
          <w:bCs/>
          <w:sz w:val="24"/>
          <w:szCs w:val="24"/>
          <w:lang w:val="en-US" w:eastAsia="zh-CN"/>
        </w:rPr>
        <w:t>6</w:t>
      </w:r>
      <w:r>
        <w:rPr>
          <w:rFonts w:hint="eastAsia"/>
          <w:b/>
          <w:bCs/>
          <w:sz w:val="24"/>
          <w:szCs w:val="24"/>
        </w:rPr>
        <w:t xml:space="preserve">  惯性扩展阶段油膜直径的变化情况</w:t>
      </w:r>
    </w:p>
    <w:tbl>
      <w:tblPr>
        <w:tblStyle w:val="1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65"/>
        <w:gridCol w:w="2765"/>
        <w:gridCol w:w="27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65"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T/s</w:t>
            </w:r>
          </w:p>
        </w:tc>
        <w:tc>
          <w:tcPr>
            <w:tcW w:w="2765"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计算公式</w:t>
            </w:r>
          </w:p>
        </w:tc>
        <w:tc>
          <w:tcPr>
            <w:tcW w:w="2766"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65"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2765" w:type="dxa"/>
            <w:vMerge w:val="restart"/>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1094740" cy="228600"/>
                  <wp:effectExtent l="0" t="0" r="0" b="0"/>
                  <wp:docPr id="7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2"/>
                          <pic:cNvPicPr>
                            <a:picLocks noChangeAspect="1"/>
                          </pic:cNvPicPr>
                        </pic:nvPicPr>
                        <pic:blipFill>
                          <a:blip r:embed="rId12"/>
                          <a:stretch>
                            <a:fillRect/>
                          </a:stretch>
                        </pic:blipFill>
                        <pic:spPr>
                          <a:xfrm>
                            <a:off x="0" y="0"/>
                            <a:ext cx="1094740" cy="228600"/>
                          </a:xfrm>
                          <a:prstGeom prst="rect">
                            <a:avLst/>
                          </a:prstGeom>
                          <a:noFill/>
                          <a:ln>
                            <a:noFill/>
                          </a:ln>
                        </pic:spPr>
                      </pic:pic>
                    </a:graphicData>
                  </a:graphic>
                </wp:inline>
              </w:drawing>
            </w:r>
          </w:p>
        </w:tc>
        <w:tc>
          <w:tcPr>
            <w:tcW w:w="2766"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65"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2765" w:type="dxa"/>
            <w:vMerge w:val="continue"/>
            <w:shd w:val="clear" w:color="auto" w:fill="auto"/>
            <w:noWrap w:val="0"/>
            <w:vAlign w:val="center"/>
          </w:tcPr>
          <w:p>
            <w:pPr>
              <w:pStyle w:val="26"/>
              <w:rPr>
                <w:rFonts w:hint="default" w:ascii="Times New Roman" w:hAnsi="Times New Roman" w:eastAsia="宋体" w:cs="Times New Roman"/>
                <w:sz w:val="21"/>
                <w:szCs w:val="21"/>
              </w:rPr>
            </w:pPr>
          </w:p>
        </w:tc>
        <w:tc>
          <w:tcPr>
            <w:tcW w:w="2766"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91.55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65"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120</w:t>
            </w:r>
          </w:p>
        </w:tc>
        <w:tc>
          <w:tcPr>
            <w:tcW w:w="2765" w:type="dxa"/>
            <w:vMerge w:val="continue"/>
            <w:shd w:val="clear" w:color="auto" w:fill="auto"/>
            <w:noWrap w:val="0"/>
            <w:vAlign w:val="center"/>
          </w:tcPr>
          <w:p>
            <w:pPr>
              <w:pStyle w:val="26"/>
              <w:rPr>
                <w:rFonts w:hint="default" w:ascii="Times New Roman" w:hAnsi="Times New Roman" w:eastAsia="宋体" w:cs="Times New Roman"/>
                <w:sz w:val="21"/>
                <w:szCs w:val="21"/>
              </w:rPr>
            </w:pPr>
          </w:p>
        </w:tc>
        <w:tc>
          <w:tcPr>
            <w:tcW w:w="2766"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65"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180</w:t>
            </w:r>
          </w:p>
        </w:tc>
        <w:tc>
          <w:tcPr>
            <w:tcW w:w="2765" w:type="dxa"/>
            <w:vMerge w:val="continue"/>
            <w:shd w:val="clear" w:color="auto" w:fill="auto"/>
            <w:noWrap w:val="0"/>
            <w:vAlign w:val="center"/>
          </w:tcPr>
          <w:p>
            <w:pPr>
              <w:pStyle w:val="26"/>
              <w:rPr>
                <w:rFonts w:hint="default" w:ascii="Times New Roman" w:hAnsi="Times New Roman" w:eastAsia="宋体" w:cs="Times New Roman"/>
                <w:sz w:val="21"/>
                <w:szCs w:val="21"/>
              </w:rPr>
            </w:pPr>
          </w:p>
        </w:tc>
        <w:tc>
          <w:tcPr>
            <w:tcW w:w="2766"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65"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240</w:t>
            </w:r>
          </w:p>
        </w:tc>
        <w:tc>
          <w:tcPr>
            <w:tcW w:w="2765" w:type="dxa"/>
            <w:vMerge w:val="continue"/>
            <w:shd w:val="clear" w:color="auto" w:fill="auto"/>
            <w:noWrap w:val="0"/>
            <w:vAlign w:val="center"/>
          </w:tcPr>
          <w:p>
            <w:pPr>
              <w:pStyle w:val="26"/>
              <w:rPr>
                <w:rFonts w:hint="default" w:ascii="Times New Roman" w:hAnsi="Times New Roman" w:eastAsia="宋体" w:cs="Times New Roman"/>
                <w:sz w:val="21"/>
                <w:szCs w:val="21"/>
              </w:rPr>
            </w:pPr>
          </w:p>
        </w:tc>
        <w:tc>
          <w:tcPr>
            <w:tcW w:w="2766"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65"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300</w:t>
            </w:r>
          </w:p>
        </w:tc>
        <w:tc>
          <w:tcPr>
            <w:tcW w:w="2765" w:type="dxa"/>
            <w:vMerge w:val="continue"/>
            <w:shd w:val="clear" w:color="auto" w:fill="auto"/>
            <w:noWrap w:val="0"/>
            <w:vAlign w:val="center"/>
          </w:tcPr>
          <w:p>
            <w:pPr>
              <w:pStyle w:val="26"/>
              <w:rPr>
                <w:rFonts w:hint="default" w:ascii="Times New Roman" w:hAnsi="Times New Roman" w:eastAsia="宋体" w:cs="Times New Roman"/>
                <w:sz w:val="21"/>
                <w:szCs w:val="21"/>
              </w:rPr>
            </w:pPr>
          </w:p>
        </w:tc>
        <w:tc>
          <w:tcPr>
            <w:tcW w:w="2766"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65"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400</w:t>
            </w:r>
          </w:p>
        </w:tc>
        <w:tc>
          <w:tcPr>
            <w:tcW w:w="2765" w:type="dxa"/>
            <w:vMerge w:val="continue"/>
            <w:shd w:val="clear" w:color="auto" w:fill="auto"/>
            <w:noWrap w:val="0"/>
            <w:vAlign w:val="center"/>
          </w:tcPr>
          <w:p>
            <w:pPr>
              <w:pStyle w:val="26"/>
              <w:rPr>
                <w:rFonts w:hint="default" w:ascii="Times New Roman" w:hAnsi="Times New Roman" w:eastAsia="宋体" w:cs="Times New Roman"/>
                <w:sz w:val="21"/>
                <w:szCs w:val="21"/>
              </w:rPr>
            </w:pPr>
          </w:p>
        </w:tc>
        <w:tc>
          <w:tcPr>
            <w:tcW w:w="2766"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65"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w:t>
            </w:r>
          </w:p>
        </w:tc>
        <w:tc>
          <w:tcPr>
            <w:tcW w:w="2765" w:type="dxa"/>
            <w:vMerge w:val="continue"/>
            <w:shd w:val="clear" w:color="auto" w:fill="auto"/>
            <w:noWrap w:val="0"/>
            <w:vAlign w:val="center"/>
          </w:tcPr>
          <w:p>
            <w:pPr>
              <w:pStyle w:val="26"/>
              <w:rPr>
                <w:rFonts w:hint="default" w:ascii="Times New Roman" w:hAnsi="Times New Roman" w:eastAsia="宋体" w:cs="Times New Roman"/>
                <w:sz w:val="21"/>
                <w:szCs w:val="21"/>
              </w:rPr>
            </w:pPr>
          </w:p>
        </w:tc>
        <w:tc>
          <w:tcPr>
            <w:tcW w:w="2766"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264.3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65"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600</w:t>
            </w:r>
          </w:p>
        </w:tc>
        <w:tc>
          <w:tcPr>
            <w:tcW w:w="2765" w:type="dxa"/>
            <w:vMerge w:val="continue"/>
            <w:shd w:val="clear" w:color="auto" w:fill="auto"/>
            <w:noWrap w:val="0"/>
            <w:vAlign w:val="center"/>
          </w:tcPr>
          <w:p>
            <w:pPr>
              <w:pStyle w:val="26"/>
              <w:rPr>
                <w:rFonts w:hint="default" w:ascii="Times New Roman" w:hAnsi="Times New Roman" w:eastAsia="宋体" w:cs="Times New Roman"/>
                <w:sz w:val="21"/>
                <w:szCs w:val="21"/>
              </w:rPr>
            </w:pPr>
          </w:p>
        </w:tc>
        <w:tc>
          <w:tcPr>
            <w:tcW w:w="2766"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289.5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65"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700</w:t>
            </w:r>
          </w:p>
        </w:tc>
        <w:tc>
          <w:tcPr>
            <w:tcW w:w="2765" w:type="dxa"/>
            <w:vMerge w:val="continue"/>
            <w:shd w:val="clear" w:color="auto" w:fill="auto"/>
            <w:noWrap w:val="0"/>
            <w:vAlign w:val="center"/>
          </w:tcPr>
          <w:p>
            <w:pPr>
              <w:pStyle w:val="26"/>
              <w:rPr>
                <w:rFonts w:hint="default" w:ascii="Times New Roman" w:hAnsi="Times New Roman" w:eastAsia="宋体" w:cs="Times New Roman"/>
                <w:sz w:val="21"/>
                <w:szCs w:val="21"/>
              </w:rPr>
            </w:pPr>
          </w:p>
        </w:tc>
        <w:tc>
          <w:tcPr>
            <w:tcW w:w="2766"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312.7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65"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800</w:t>
            </w:r>
          </w:p>
        </w:tc>
        <w:tc>
          <w:tcPr>
            <w:tcW w:w="2765" w:type="dxa"/>
            <w:vMerge w:val="continue"/>
            <w:shd w:val="clear" w:color="auto" w:fill="auto"/>
            <w:noWrap w:val="0"/>
            <w:vAlign w:val="center"/>
          </w:tcPr>
          <w:p>
            <w:pPr>
              <w:pStyle w:val="26"/>
              <w:rPr>
                <w:rFonts w:hint="default" w:ascii="Times New Roman" w:hAnsi="Times New Roman" w:eastAsia="宋体" w:cs="Times New Roman"/>
                <w:sz w:val="21"/>
                <w:szCs w:val="21"/>
              </w:rPr>
            </w:pPr>
          </w:p>
        </w:tc>
        <w:tc>
          <w:tcPr>
            <w:tcW w:w="2766"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334.3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65"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900</w:t>
            </w:r>
          </w:p>
        </w:tc>
        <w:tc>
          <w:tcPr>
            <w:tcW w:w="2765" w:type="dxa"/>
            <w:vMerge w:val="continue"/>
            <w:shd w:val="clear" w:color="auto" w:fill="auto"/>
            <w:noWrap w:val="0"/>
            <w:vAlign w:val="center"/>
          </w:tcPr>
          <w:p>
            <w:pPr>
              <w:pStyle w:val="26"/>
              <w:rPr>
                <w:rFonts w:hint="default" w:ascii="Times New Roman" w:hAnsi="Times New Roman" w:eastAsia="宋体" w:cs="Times New Roman"/>
                <w:sz w:val="21"/>
                <w:szCs w:val="21"/>
              </w:rPr>
            </w:pPr>
          </w:p>
        </w:tc>
        <w:tc>
          <w:tcPr>
            <w:tcW w:w="2766"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65"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1000</w:t>
            </w:r>
          </w:p>
        </w:tc>
        <w:tc>
          <w:tcPr>
            <w:tcW w:w="2765" w:type="dxa"/>
            <w:vMerge w:val="continue"/>
            <w:shd w:val="clear" w:color="auto" w:fill="auto"/>
            <w:noWrap w:val="0"/>
            <w:vAlign w:val="center"/>
          </w:tcPr>
          <w:p>
            <w:pPr>
              <w:pStyle w:val="26"/>
              <w:rPr>
                <w:rFonts w:hint="default" w:ascii="Times New Roman" w:hAnsi="Times New Roman" w:eastAsia="宋体" w:cs="Times New Roman"/>
                <w:sz w:val="21"/>
                <w:szCs w:val="21"/>
              </w:rPr>
            </w:pPr>
          </w:p>
        </w:tc>
        <w:tc>
          <w:tcPr>
            <w:tcW w:w="2766"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373.78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65"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2000</w:t>
            </w:r>
          </w:p>
        </w:tc>
        <w:tc>
          <w:tcPr>
            <w:tcW w:w="2765" w:type="dxa"/>
            <w:vMerge w:val="continue"/>
            <w:shd w:val="clear" w:color="auto" w:fill="auto"/>
            <w:noWrap w:val="0"/>
            <w:vAlign w:val="center"/>
          </w:tcPr>
          <w:p>
            <w:pPr>
              <w:pStyle w:val="26"/>
              <w:rPr>
                <w:rFonts w:hint="default" w:ascii="Times New Roman" w:hAnsi="Times New Roman" w:eastAsia="宋体" w:cs="Times New Roman"/>
                <w:sz w:val="21"/>
                <w:szCs w:val="21"/>
              </w:rPr>
            </w:pPr>
          </w:p>
        </w:tc>
        <w:tc>
          <w:tcPr>
            <w:tcW w:w="2766"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528.6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65"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3000</w:t>
            </w:r>
          </w:p>
        </w:tc>
        <w:tc>
          <w:tcPr>
            <w:tcW w:w="2765" w:type="dxa"/>
            <w:vMerge w:val="continue"/>
            <w:shd w:val="clear" w:color="auto" w:fill="auto"/>
            <w:noWrap w:val="0"/>
            <w:vAlign w:val="center"/>
          </w:tcPr>
          <w:p>
            <w:pPr>
              <w:pStyle w:val="26"/>
              <w:rPr>
                <w:rFonts w:hint="default" w:ascii="Times New Roman" w:hAnsi="Times New Roman" w:eastAsia="宋体" w:cs="Times New Roman"/>
                <w:sz w:val="21"/>
                <w:szCs w:val="21"/>
              </w:rPr>
            </w:pPr>
          </w:p>
        </w:tc>
        <w:tc>
          <w:tcPr>
            <w:tcW w:w="2766"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647.4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65"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3600</w:t>
            </w:r>
          </w:p>
        </w:tc>
        <w:tc>
          <w:tcPr>
            <w:tcW w:w="2765" w:type="dxa"/>
            <w:vMerge w:val="continue"/>
            <w:shd w:val="clear" w:color="auto" w:fill="auto"/>
            <w:noWrap w:val="0"/>
            <w:vAlign w:val="center"/>
          </w:tcPr>
          <w:p>
            <w:pPr>
              <w:pStyle w:val="26"/>
              <w:rPr>
                <w:rFonts w:hint="default" w:ascii="Times New Roman" w:hAnsi="Times New Roman" w:eastAsia="宋体" w:cs="Times New Roman"/>
                <w:sz w:val="21"/>
                <w:szCs w:val="21"/>
              </w:rPr>
            </w:pPr>
          </w:p>
        </w:tc>
        <w:tc>
          <w:tcPr>
            <w:tcW w:w="2766"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709.2</w:t>
            </w:r>
          </w:p>
        </w:tc>
      </w:tr>
    </w:tbl>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4"/>
          <w:szCs w:val="24"/>
        </w:rPr>
      </w:pPr>
      <w:r>
        <w:rPr>
          <w:rFonts w:hint="eastAsia"/>
          <w:b/>
          <w:bCs/>
          <w:sz w:val="24"/>
          <w:szCs w:val="24"/>
        </w:rPr>
        <w:t>表4</w:t>
      </w:r>
      <w:r>
        <w:rPr>
          <w:rFonts w:hint="eastAsia"/>
          <w:b/>
          <w:bCs/>
          <w:sz w:val="24"/>
          <w:szCs w:val="24"/>
          <w:lang w:val="en-US" w:eastAsia="zh-CN"/>
        </w:rPr>
        <w:t>.2</w:t>
      </w:r>
      <w:r>
        <w:rPr>
          <w:rFonts w:hint="eastAsia"/>
          <w:b/>
          <w:bCs/>
          <w:sz w:val="24"/>
          <w:szCs w:val="24"/>
        </w:rPr>
        <w:t>-</w:t>
      </w:r>
      <w:r>
        <w:rPr>
          <w:rFonts w:hint="eastAsia"/>
          <w:b/>
          <w:bCs/>
          <w:sz w:val="24"/>
          <w:szCs w:val="24"/>
          <w:lang w:val="en-US" w:eastAsia="zh-CN"/>
        </w:rPr>
        <w:t>7</w:t>
      </w:r>
      <w:r>
        <w:rPr>
          <w:rFonts w:hint="eastAsia"/>
          <w:b/>
          <w:bCs/>
          <w:sz w:val="24"/>
          <w:szCs w:val="24"/>
        </w:rPr>
        <w:t xml:space="preserve">  粘性扩展阶段油膜直径的变化情况</w:t>
      </w:r>
    </w:p>
    <w:tbl>
      <w:tblPr>
        <w:tblStyle w:val="1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37"/>
        <w:gridCol w:w="2765"/>
        <w:gridCol w:w="28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37" w:type="dxa"/>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t/s</w:t>
            </w:r>
          </w:p>
        </w:tc>
        <w:tc>
          <w:tcPr>
            <w:tcW w:w="2765" w:type="dxa"/>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计算公式</w:t>
            </w:r>
          </w:p>
        </w:tc>
        <w:tc>
          <w:tcPr>
            <w:tcW w:w="2898" w:type="dxa"/>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37" w:type="dxa"/>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2765" w:type="dxa"/>
            <w:vMerge w:val="restar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1476375" cy="390525"/>
                  <wp:effectExtent l="0" t="0" r="9525" b="8890"/>
                  <wp:docPr id="8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3"/>
                          <pic:cNvPicPr>
                            <a:picLocks noChangeAspect="1"/>
                          </pic:cNvPicPr>
                        </pic:nvPicPr>
                        <pic:blipFill>
                          <a:blip r:embed="rId30"/>
                          <a:stretch>
                            <a:fillRect/>
                          </a:stretch>
                        </pic:blipFill>
                        <pic:spPr>
                          <a:xfrm>
                            <a:off x="0" y="0"/>
                            <a:ext cx="1476375" cy="390525"/>
                          </a:xfrm>
                          <a:prstGeom prst="rect">
                            <a:avLst/>
                          </a:prstGeom>
                          <a:noFill/>
                          <a:ln>
                            <a:noFill/>
                          </a:ln>
                        </pic:spPr>
                      </pic:pic>
                    </a:graphicData>
                  </a:graphic>
                </wp:inline>
              </w:drawing>
            </w:r>
          </w:p>
        </w:tc>
        <w:tc>
          <w:tcPr>
            <w:tcW w:w="2898" w:type="dxa"/>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37" w:type="dxa"/>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2765" w:type="dxa"/>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p>
        </w:tc>
        <w:tc>
          <w:tcPr>
            <w:tcW w:w="2898" w:type="dxa"/>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37" w:type="dxa"/>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120</w:t>
            </w:r>
          </w:p>
        </w:tc>
        <w:tc>
          <w:tcPr>
            <w:tcW w:w="2765" w:type="dxa"/>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p>
        </w:tc>
        <w:tc>
          <w:tcPr>
            <w:tcW w:w="2898" w:type="dxa"/>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85.39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37" w:type="dxa"/>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180</w:t>
            </w:r>
          </w:p>
        </w:tc>
        <w:tc>
          <w:tcPr>
            <w:tcW w:w="2765" w:type="dxa"/>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p>
        </w:tc>
        <w:tc>
          <w:tcPr>
            <w:tcW w:w="2898" w:type="dxa"/>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37" w:type="dxa"/>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240</w:t>
            </w:r>
          </w:p>
        </w:tc>
        <w:tc>
          <w:tcPr>
            <w:tcW w:w="2765" w:type="dxa"/>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p>
        </w:tc>
        <w:tc>
          <w:tcPr>
            <w:tcW w:w="2898" w:type="dxa"/>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37" w:type="dxa"/>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300</w:t>
            </w:r>
          </w:p>
        </w:tc>
        <w:tc>
          <w:tcPr>
            <w:tcW w:w="2765" w:type="dxa"/>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p>
        </w:tc>
        <w:tc>
          <w:tcPr>
            <w:tcW w:w="2898" w:type="dxa"/>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37" w:type="dxa"/>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400</w:t>
            </w:r>
          </w:p>
        </w:tc>
        <w:tc>
          <w:tcPr>
            <w:tcW w:w="2765" w:type="dxa"/>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p>
        </w:tc>
        <w:tc>
          <w:tcPr>
            <w:tcW w:w="2898" w:type="dxa"/>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37" w:type="dxa"/>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w:t>
            </w:r>
          </w:p>
        </w:tc>
        <w:tc>
          <w:tcPr>
            <w:tcW w:w="2765" w:type="dxa"/>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p>
        </w:tc>
        <w:tc>
          <w:tcPr>
            <w:tcW w:w="2898" w:type="dxa"/>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37" w:type="dxa"/>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600</w:t>
            </w:r>
          </w:p>
        </w:tc>
        <w:tc>
          <w:tcPr>
            <w:tcW w:w="2765" w:type="dxa"/>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p>
        </w:tc>
        <w:tc>
          <w:tcPr>
            <w:tcW w:w="2898" w:type="dxa"/>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37" w:type="dxa"/>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700</w:t>
            </w:r>
          </w:p>
        </w:tc>
        <w:tc>
          <w:tcPr>
            <w:tcW w:w="2765" w:type="dxa"/>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p>
        </w:tc>
        <w:tc>
          <w:tcPr>
            <w:tcW w:w="2898" w:type="dxa"/>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37" w:type="dxa"/>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800</w:t>
            </w:r>
          </w:p>
        </w:tc>
        <w:tc>
          <w:tcPr>
            <w:tcW w:w="2765" w:type="dxa"/>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p>
        </w:tc>
        <w:tc>
          <w:tcPr>
            <w:tcW w:w="2898" w:type="dxa"/>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37" w:type="dxa"/>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900</w:t>
            </w:r>
          </w:p>
        </w:tc>
        <w:tc>
          <w:tcPr>
            <w:tcW w:w="2765" w:type="dxa"/>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p>
        </w:tc>
        <w:tc>
          <w:tcPr>
            <w:tcW w:w="2898" w:type="dxa"/>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37" w:type="dxa"/>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1000</w:t>
            </w:r>
          </w:p>
        </w:tc>
        <w:tc>
          <w:tcPr>
            <w:tcW w:w="2765" w:type="dxa"/>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p>
        </w:tc>
        <w:tc>
          <w:tcPr>
            <w:tcW w:w="2898" w:type="dxa"/>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37" w:type="dxa"/>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2000</w:t>
            </w:r>
          </w:p>
        </w:tc>
        <w:tc>
          <w:tcPr>
            <w:tcW w:w="2765" w:type="dxa"/>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p>
        </w:tc>
        <w:tc>
          <w:tcPr>
            <w:tcW w:w="2898" w:type="dxa"/>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37" w:type="dxa"/>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3000</w:t>
            </w:r>
          </w:p>
        </w:tc>
        <w:tc>
          <w:tcPr>
            <w:tcW w:w="2765" w:type="dxa"/>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p>
        </w:tc>
        <w:tc>
          <w:tcPr>
            <w:tcW w:w="2898" w:type="dxa"/>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37" w:type="dxa"/>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3600</w:t>
            </w:r>
          </w:p>
        </w:tc>
        <w:tc>
          <w:tcPr>
            <w:tcW w:w="2765" w:type="dxa"/>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p>
        </w:tc>
        <w:tc>
          <w:tcPr>
            <w:tcW w:w="2898" w:type="dxa"/>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199.8</w:t>
            </w:r>
          </w:p>
        </w:tc>
      </w:tr>
    </w:tbl>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4"/>
          <w:szCs w:val="24"/>
        </w:rPr>
      </w:pPr>
      <w:r>
        <w:rPr>
          <w:rFonts w:hint="eastAsia"/>
          <w:b/>
          <w:bCs/>
          <w:sz w:val="24"/>
          <w:szCs w:val="24"/>
        </w:rPr>
        <w:t>表4</w:t>
      </w:r>
      <w:r>
        <w:rPr>
          <w:rFonts w:hint="eastAsia"/>
          <w:b/>
          <w:bCs/>
          <w:sz w:val="24"/>
          <w:szCs w:val="24"/>
          <w:lang w:val="en-US" w:eastAsia="zh-CN"/>
        </w:rPr>
        <w:t>.2</w:t>
      </w:r>
      <w:r>
        <w:rPr>
          <w:rFonts w:hint="eastAsia"/>
          <w:b/>
          <w:bCs/>
          <w:sz w:val="24"/>
          <w:szCs w:val="24"/>
        </w:rPr>
        <w:t>-</w:t>
      </w:r>
      <w:r>
        <w:rPr>
          <w:rFonts w:hint="eastAsia"/>
          <w:b/>
          <w:bCs/>
          <w:sz w:val="24"/>
          <w:szCs w:val="24"/>
          <w:lang w:val="en-US" w:eastAsia="zh-CN"/>
        </w:rPr>
        <w:t>8</w:t>
      </w:r>
      <w:r>
        <w:rPr>
          <w:rFonts w:hint="eastAsia"/>
          <w:b/>
          <w:bCs/>
          <w:sz w:val="24"/>
          <w:szCs w:val="24"/>
        </w:rPr>
        <w:t xml:space="preserve">  表面张力扩展阶段油膜直径的变化情况</w:t>
      </w:r>
    </w:p>
    <w:tbl>
      <w:tblPr>
        <w:tblStyle w:val="1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37"/>
        <w:gridCol w:w="2765"/>
        <w:gridCol w:w="29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37"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t/s</w:t>
            </w:r>
          </w:p>
        </w:tc>
        <w:tc>
          <w:tcPr>
            <w:tcW w:w="2765"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计算公式</w:t>
            </w:r>
          </w:p>
        </w:tc>
        <w:tc>
          <w:tcPr>
            <w:tcW w:w="292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37"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2765" w:type="dxa"/>
            <w:vMerge w:val="restart"/>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1495425" cy="371475"/>
                  <wp:effectExtent l="0" t="0" r="9525" b="8890"/>
                  <wp:docPr id="8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4"/>
                          <pic:cNvPicPr>
                            <a:picLocks noChangeAspect="1"/>
                          </pic:cNvPicPr>
                        </pic:nvPicPr>
                        <pic:blipFill>
                          <a:blip r:embed="rId31"/>
                          <a:stretch>
                            <a:fillRect/>
                          </a:stretch>
                        </pic:blipFill>
                        <pic:spPr>
                          <a:xfrm>
                            <a:off x="0" y="0"/>
                            <a:ext cx="1495425" cy="371475"/>
                          </a:xfrm>
                          <a:prstGeom prst="rect">
                            <a:avLst/>
                          </a:prstGeom>
                          <a:noFill/>
                          <a:ln>
                            <a:noFill/>
                          </a:ln>
                        </pic:spPr>
                      </pic:pic>
                    </a:graphicData>
                  </a:graphic>
                </wp:inline>
              </w:drawing>
            </w:r>
          </w:p>
        </w:tc>
        <w:tc>
          <w:tcPr>
            <w:tcW w:w="292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37"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2765" w:type="dxa"/>
            <w:vMerge w:val="continue"/>
            <w:shd w:val="clear" w:color="auto" w:fill="auto"/>
            <w:noWrap w:val="0"/>
            <w:vAlign w:val="center"/>
          </w:tcPr>
          <w:p>
            <w:pPr>
              <w:pStyle w:val="26"/>
              <w:rPr>
                <w:rFonts w:hint="default" w:ascii="Times New Roman" w:hAnsi="Times New Roman" w:eastAsia="宋体" w:cs="Times New Roman"/>
                <w:sz w:val="21"/>
                <w:szCs w:val="21"/>
              </w:rPr>
            </w:pPr>
          </w:p>
        </w:tc>
        <w:tc>
          <w:tcPr>
            <w:tcW w:w="292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37"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120</w:t>
            </w:r>
          </w:p>
        </w:tc>
        <w:tc>
          <w:tcPr>
            <w:tcW w:w="2765" w:type="dxa"/>
            <w:vMerge w:val="continue"/>
            <w:shd w:val="clear" w:color="auto" w:fill="auto"/>
            <w:noWrap w:val="0"/>
            <w:vAlign w:val="center"/>
          </w:tcPr>
          <w:p>
            <w:pPr>
              <w:pStyle w:val="26"/>
              <w:rPr>
                <w:rFonts w:hint="default" w:ascii="Times New Roman" w:hAnsi="Times New Roman" w:eastAsia="宋体" w:cs="Times New Roman"/>
                <w:sz w:val="21"/>
                <w:szCs w:val="21"/>
              </w:rPr>
            </w:pPr>
          </w:p>
        </w:tc>
        <w:tc>
          <w:tcPr>
            <w:tcW w:w="292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37"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180</w:t>
            </w:r>
          </w:p>
        </w:tc>
        <w:tc>
          <w:tcPr>
            <w:tcW w:w="2765" w:type="dxa"/>
            <w:vMerge w:val="continue"/>
            <w:shd w:val="clear" w:color="auto" w:fill="auto"/>
            <w:noWrap w:val="0"/>
            <w:vAlign w:val="center"/>
          </w:tcPr>
          <w:p>
            <w:pPr>
              <w:pStyle w:val="26"/>
              <w:rPr>
                <w:rFonts w:hint="default" w:ascii="Times New Roman" w:hAnsi="Times New Roman" w:eastAsia="宋体" w:cs="Times New Roman"/>
                <w:sz w:val="21"/>
                <w:szCs w:val="21"/>
              </w:rPr>
            </w:pPr>
          </w:p>
        </w:tc>
        <w:tc>
          <w:tcPr>
            <w:tcW w:w="292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37"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240</w:t>
            </w:r>
          </w:p>
        </w:tc>
        <w:tc>
          <w:tcPr>
            <w:tcW w:w="2765" w:type="dxa"/>
            <w:vMerge w:val="continue"/>
            <w:shd w:val="clear" w:color="auto" w:fill="auto"/>
            <w:noWrap w:val="0"/>
            <w:vAlign w:val="center"/>
          </w:tcPr>
          <w:p>
            <w:pPr>
              <w:pStyle w:val="26"/>
              <w:rPr>
                <w:rFonts w:hint="default" w:ascii="Times New Roman" w:hAnsi="Times New Roman" w:eastAsia="宋体" w:cs="Times New Roman"/>
                <w:sz w:val="21"/>
                <w:szCs w:val="21"/>
              </w:rPr>
            </w:pPr>
          </w:p>
        </w:tc>
        <w:tc>
          <w:tcPr>
            <w:tcW w:w="292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37"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300</w:t>
            </w:r>
          </w:p>
        </w:tc>
        <w:tc>
          <w:tcPr>
            <w:tcW w:w="2765" w:type="dxa"/>
            <w:vMerge w:val="continue"/>
            <w:shd w:val="clear" w:color="auto" w:fill="auto"/>
            <w:noWrap w:val="0"/>
            <w:vAlign w:val="center"/>
          </w:tcPr>
          <w:p>
            <w:pPr>
              <w:pStyle w:val="26"/>
              <w:rPr>
                <w:rFonts w:hint="default" w:ascii="Times New Roman" w:hAnsi="Times New Roman" w:eastAsia="宋体" w:cs="Times New Roman"/>
                <w:sz w:val="21"/>
                <w:szCs w:val="21"/>
              </w:rPr>
            </w:pPr>
          </w:p>
        </w:tc>
        <w:tc>
          <w:tcPr>
            <w:tcW w:w="292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37"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400</w:t>
            </w:r>
          </w:p>
        </w:tc>
        <w:tc>
          <w:tcPr>
            <w:tcW w:w="2765" w:type="dxa"/>
            <w:vMerge w:val="continue"/>
            <w:shd w:val="clear" w:color="auto" w:fill="auto"/>
            <w:noWrap w:val="0"/>
            <w:vAlign w:val="center"/>
          </w:tcPr>
          <w:p>
            <w:pPr>
              <w:pStyle w:val="26"/>
              <w:rPr>
                <w:rFonts w:hint="default" w:ascii="Times New Roman" w:hAnsi="Times New Roman" w:eastAsia="宋体" w:cs="Times New Roman"/>
                <w:sz w:val="21"/>
                <w:szCs w:val="21"/>
              </w:rPr>
            </w:pPr>
          </w:p>
        </w:tc>
        <w:tc>
          <w:tcPr>
            <w:tcW w:w="292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37"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w:t>
            </w:r>
          </w:p>
        </w:tc>
        <w:tc>
          <w:tcPr>
            <w:tcW w:w="2765" w:type="dxa"/>
            <w:vMerge w:val="continue"/>
            <w:shd w:val="clear" w:color="auto" w:fill="auto"/>
            <w:noWrap w:val="0"/>
            <w:vAlign w:val="center"/>
          </w:tcPr>
          <w:p>
            <w:pPr>
              <w:pStyle w:val="26"/>
              <w:rPr>
                <w:rFonts w:hint="default" w:ascii="Times New Roman" w:hAnsi="Times New Roman" w:eastAsia="宋体" w:cs="Times New Roman"/>
                <w:sz w:val="21"/>
                <w:szCs w:val="21"/>
              </w:rPr>
            </w:pPr>
          </w:p>
        </w:tc>
        <w:tc>
          <w:tcPr>
            <w:tcW w:w="292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293.9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37"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600</w:t>
            </w:r>
          </w:p>
        </w:tc>
        <w:tc>
          <w:tcPr>
            <w:tcW w:w="2765" w:type="dxa"/>
            <w:vMerge w:val="continue"/>
            <w:shd w:val="clear" w:color="auto" w:fill="auto"/>
            <w:noWrap w:val="0"/>
            <w:vAlign w:val="center"/>
          </w:tcPr>
          <w:p>
            <w:pPr>
              <w:pStyle w:val="26"/>
              <w:rPr>
                <w:rFonts w:hint="default" w:ascii="Times New Roman" w:hAnsi="Times New Roman" w:eastAsia="宋体" w:cs="Times New Roman"/>
                <w:sz w:val="21"/>
                <w:szCs w:val="21"/>
              </w:rPr>
            </w:pPr>
          </w:p>
        </w:tc>
        <w:tc>
          <w:tcPr>
            <w:tcW w:w="292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37"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700</w:t>
            </w:r>
          </w:p>
        </w:tc>
        <w:tc>
          <w:tcPr>
            <w:tcW w:w="2765" w:type="dxa"/>
            <w:vMerge w:val="continue"/>
            <w:shd w:val="clear" w:color="auto" w:fill="auto"/>
            <w:noWrap w:val="0"/>
            <w:vAlign w:val="center"/>
          </w:tcPr>
          <w:p>
            <w:pPr>
              <w:pStyle w:val="26"/>
              <w:rPr>
                <w:rFonts w:hint="default" w:ascii="Times New Roman" w:hAnsi="Times New Roman" w:eastAsia="宋体" w:cs="Times New Roman"/>
                <w:sz w:val="21"/>
                <w:szCs w:val="21"/>
              </w:rPr>
            </w:pPr>
          </w:p>
        </w:tc>
        <w:tc>
          <w:tcPr>
            <w:tcW w:w="292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378.3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37"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800</w:t>
            </w:r>
          </w:p>
        </w:tc>
        <w:tc>
          <w:tcPr>
            <w:tcW w:w="2765" w:type="dxa"/>
            <w:vMerge w:val="continue"/>
            <w:shd w:val="clear" w:color="auto" w:fill="auto"/>
            <w:noWrap w:val="0"/>
            <w:vAlign w:val="center"/>
          </w:tcPr>
          <w:p>
            <w:pPr>
              <w:pStyle w:val="26"/>
              <w:rPr>
                <w:rFonts w:hint="default" w:ascii="Times New Roman" w:hAnsi="Times New Roman" w:eastAsia="宋体" w:cs="Times New Roman"/>
                <w:sz w:val="21"/>
                <w:szCs w:val="21"/>
              </w:rPr>
            </w:pPr>
          </w:p>
        </w:tc>
        <w:tc>
          <w:tcPr>
            <w:tcW w:w="292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418.2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37"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900</w:t>
            </w:r>
          </w:p>
        </w:tc>
        <w:tc>
          <w:tcPr>
            <w:tcW w:w="2765" w:type="dxa"/>
            <w:vMerge w:val="continue"/>
            <w:shd w:val="clear" w:color="auto" w:fill="auto"/>
            <w:noWrap w:val="0"/>
            <w:vAlign w:val="center"/>
          </w:tcPr>
          <w:p>
            <w:pPr>
              <w:pStyle w:val="26"/>
              <w:rPr>
                <w:rFonts w:hint="default" w:ascii="Times New Roman" w:hAnsi="Times New Roman" w:eastAsia="宋体" w:cs="Times New Roman"/>
                <w:sz w:val="21"/>
                <w:szCs w:val="21"/>
              </w:rPr>
            </w:pPr>
          </w:p>
        </w:tc>
        <w:tc>
          <w:tcPr>
            <w:tcW w:w="292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37"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1000</w:t>
            </w:r>
          </w:p>
        </w:tc>
        <w:tc>
          <w:tcPr>
            <w:tcW w:w="2765" w:type="dxa"/>
            <w:vMerge w:val="continue"/>
            <w:shd w:val="clear" w:color="auto" w:fill="auto"/>
            <w:noWrap w:val="0"/>
            <w:vAlign w:val="center"/>
          </w:tcPr>
          <w:p>
            <w:pPr>
              <w:pStyle w:val="26"/>
              <w:rPr>
                <w:rFonts w:hint="default" w:ascii="Times New Roman" w:hAnsi="Times New Roman" w:eastAsia="宋体" w:cs="Times New Roman"/>
                <w:sz w:val="21"/>
                <w:szCs w:val="21"/>
              </w:rPr>
            </w:pPr>
          </w:p>
        </w:tc>
        <w:tc>
          <w:tcPr>
            <w:tcW w:w="292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494.4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37"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2000</w:t>
            </w:r>
          </w:p>
        </w:tc>
        <w:tc>
          <w:tcPr>
            <w:tcW w:w="2765" w:type="dxa"/>
            <w:vMerge w:val="continue"/>
            <w:shd w:val="clear" w:color="auto" w:fill="auto"/>
            <w:noWrap w:val="0"/>
            <w:vAlign w:val="center"/>
          </w:tcPr>
          <w:p>
            <w:pPr>
              <w:pStyle w:val="26"/>
              <w:rPr>
                <w:rFonts w:hint="default" w:ascii="Times New Roman" w:hAnsi="Times New Roman" w:eastAsia="宋体" w:cs="Times New Roman"/>
                <w:sz w:val="21"/>
                <w:szCs w:val="21"/>
              </w:rPr>
            </w:pPr>
          </w:p>
        </w:tc>
        <w:tc>
          <w:tcPr>
            <w:tcW w:w="292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831.4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37"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3000</w:t>
            </w:r>
          </w:p>
        </w:tc>
        <w:tc>
          <w:tcPr>
            <w:tcW w:w="2765" w:type="dxa"/>
            <w:vMerge w:val="continue"/>
            <w:shd w:val="clear" w:color="auto" w:fill="auto"/>
            <w:noWrap w:val="0"/>
            <w:vAlign w:val="center"/>
          </w:tcPr>
          <w:p>
            <w:pPr>
              <w:pStyle w:val="26"/>
              <w:rPr>
                <w:rFonts w:hint="default" w:ascii="Times New Roman" w:hAnsi="Times New Roman" w:eastAsia="宋体" w:cs="Times New Roman"/>
                <w:sz w:val="21"/>
                <w:szCs w:val="21"/>
              </w:rPr>
            </w:pPr>
          </w:p>
        </w:tc>
        <w:tc>
          <w:tcPr>
            <w:tcW w:w="292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1126.9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37"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3600</w:t>
            </w:r>
          </w:p>
        </w:tc>
        <w:tc>
          <w:tcPr>
            <w:tcW w:w="2765" w:type="dxa"/>
            <w:vMerge w:val="continue"/>
            <w:shd w:val="clear" w:color="auto" w:fill="auto"/>
            <w:noWrap w:val="0"/>
            <w:vAlign w:val="center"/>
          </w:tcPr>
          <w:p>
            <w:pPr>
              <w:pStyle w:val="26"/>
              <w:rPr>
                <w:rFonts w:hint="default" w:ascii="Times New Roman" w:hAnsi="Times New Roman" w:eastAsia="宋体" w:cs="Times New Roman"/>
                <w:sz w:val="21"/>
                <w:szCs w:val="21"/>
              </w:rPr>
            </w:pPr>
          </w:p>
        </w:tc>
        <w:tc>
          <w:tcPr>
            <w:tcW w:w="292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1292</w:t>
            </w:r>
          </w:p>
        </w:tc>
      </w:tr>
    </w:tbl>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经查阅资料，油类物质从入水开始到8min之间处于膜状的惯性扩展阶段，从8min到30min为膜状的粘性扩展阶段，从30min到328min为膜状的张力扩散阶段，328min后达到最大扩散面积，油膜厚度不再减少。</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综上所述，油类物质从入水开始油膜漂移距离见下表所示。</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4"/>
          <w:szCs w:val="24"/>
        </w:rPr>
      </w:pPr>
      <w:r>
        <w:rPr>
          <w:rFonts w:hint="eastAsia"/>
          <w:b/>
          <w:bCs/>
          <w:sz w:val="24"/>
          <w:szCs w:val="24"/>
        </w:rPr>
        <w:t>表4</w:t>
      </w:r>
      <w:r>
        <w:rPr>
          <w:rFonts w:hint="eastAsia"/>
          <w:b/>
          <w:bCs/>
          <w:sz w:val="24"/>
          <w:szCs w:val="24"/>
          <w:lang w:val="en-US" w:eastAsia="zh-CN"/>
        </w:rPr>
        <w:t>.2</w:t>
      </w:r>
      <w:r>
        <w:rPr>
          <w:rFonts w:hint="eastAsia"/>
          <w:b/>
          <w:bCs/>
          <w:sz w:val="24"/>
          <w:szCs w:val="24"/>
        </w:rPr>
        <w:t>-</w:t>
      </w:r>
      <w:r>
        <w:rPr>
          <w:rFonts w:hint="eastAsia"/>
          <w:b/>
          <w:bCs/>
          <w:sz w:val="24"/>
          <w:szCs w:val="24"/>
          <w:lang w:val="en-US" w:eastAsia="zh-CN"/>
        </w:rPr>
        <w:t>9</w:t>
      </w:r>
      <w:r>
        <w:rPr>
          <w:rFonts w:hint="eastAsia"/>
          <w:b/>
          <w:bCs/>
          <w:sz w:val="24"/>
          <w:szCs w:val="24"/>
        </w:rPr>
        <w:t xml:space="preserve">  油膜漂移距离表</w:t>
      </w:r>
    </w:p>
    <w:tbl>
      <w:tblPr>
        <w:tblStyle w:val="1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2"/>
        <w:gridCol w:w="1382"/>
        <w:gridCol w:w="1383"/>
        <w:gridCol w:w="1383"/>
        <w:gridCol w:w="1383"/>
        <w:gridCol w:w="13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92"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382"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时间（s）</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直径（m）</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面积（m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厚度（m）</w:t>
            </w:r>
          </w:p>
        </w:tc>
        <w:tc>
          <w:tcPr>
            <w:tcW w:w="1327"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漂移距离（m）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92"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382"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64.7</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3287.7</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0.9</w:t>
            </w:r>
          </w:p>
        </w:tc>
        <w:tc>
          <w:tcPr>
            <w:tcW w:w="1327"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92"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382"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91.55</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6582.7</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0.455</w:t>
            </w:r>
          </w:p>
        </w:tc>
        <w:tc>
          <w:tcPr>
            <w:tcW w:w="1327"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96.48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92"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1382"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120</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129.5</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13171</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0.2277</w:t>
            </w:r>
          </w:p>
        </w:tc>
        <w:tc>
          <w:tcPr>
            <w:tcW w:w="1327"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92"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1382"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180</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158.6</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19755.8</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0.1518</w:t>
            </w:r>
          </w:p>
        </w:tc>
        <w:tc>
          <w:tcPr>
            <w:tcW w:w="1327"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289.4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92"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1382"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240</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183.1</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26330.9</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0.113938</w:t>
            </w:r>
          </w:p>
        </w:tc>
        <w:tc>
          <w:tcPr>
            <w:tcW w:w="1327"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385.9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92"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1382"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300</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204.7</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32909.8</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0.0911</w:t>
            </w:r>
          </w:p>
        </w:tc>
        <w:tc>
          <w:tcPr>
            <w:tcW w:w="1327"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482.4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92"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1382"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400</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236.4</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43891.9</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0.06835</w:t>
            </w:r>
          </w:p>
        </w:tc>
        <w:tc>
          <w:tcPr>
            <w:tcW w:w="1327"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643.2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92"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1382"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264.3</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54863.6</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0.05468</w:t>
            </w:r>
          </w:p>
        </w:tc>
        <w:tc>
          <w:tcPr>
            <w:tcW w:w="1327"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92"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1382"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600</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345.9</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93970.4</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0.03192</w:t>
            </w:r>
          </w:p>
        </w:tc>
        <w:tc>
          <w:tcPr>
            <w:tcW w:w="1327"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964.8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92"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1382"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700</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361.3</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102524</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0.02926</w:t>
            </w:r>
          </w:p>
        </w:tc>
        <w:tc>
          <w:tcPr>
            <w:tcW w:w="1327"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1125.6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92"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w:t>
            </w:r>
          </w:p>
        </w:tc>
        <w:tc>
          <w:tcPr>
            <w:tcW w:w="1382"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800</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371.7</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108511</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0.02765</w:t>
            </w:r>
          </w:p>
        </w:tc>
        <w:tc>
          <w:tcPr>
            <w:tcW w:w="1327"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1286.4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92"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1382"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900</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379.7</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113232</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0.02649</w:t>
            </w:r>
          </w:p>
        </w:tc>
        <w:tc>
          <w:tcPr>
            <w:tcW w:w="1327"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1447.2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92"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w:t>
            </w:r>
          </w:p>
        </w:tc>
        <w:tc>
          <w:tcPr>
            <w:tcW w:w="1382"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1000</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386.3</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117203</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0.02559</w:t>
            </w:r>
          </w:p>
        </w:tc>
        <w:tc>
          <w:tcPr>
            <w:tcW w:w="1327"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92"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w:t>
            </w:r>
          </w:p>
        </w:tc>
        <w:tc>
          <w:tcPr>
            <w:tcW w:w="1382"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2000</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406.9</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130036</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0.02307</w:t>
            </w:r>
          </w:p>
        </w:tc>
        <w:tc>
          <w:tcPr>
            <w:tcW w:w="1327"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3216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92"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1382"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3000</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901.3</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638011</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0.0047</w:t>
            </w:r>
          </w:p>
        </w:tc>
        <w:tc>
          <w:tcPr>
            <w:tcW w:w="1327"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4824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92"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w:t>
            </w:r>
          </w:p>
        </w:tc>
        <w:tc>
          <w:tcPr>
            <w:tcW w:w="1382"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3600</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1238.3</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1204319</w:t>
            </w:r>
          </w:p>
        </w:tc>
        <w:tc>
          <w:tcPr>
            <w:tcW w:w="1383"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0.00249</w:t>
            </w:r>
          </w:p>
        </w:tc>
        <w:tc>
          <w:tcPr>
            <w:tcW w:w="1327" w:type="dxa"/>
            <w:shd w:val="clear" w:color="auto" w:fill="auto"/>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5789</w:t>
            </w:r>
          </w:p>
        </w:tc>
      </w:tr>
    </w:tbl>
    <w:p>
      <w:pPr>
        <w:pStyle w:val="22"/>
        <w:keepNext w:val="0"/>
        <w:keepLines w:val="0"/>
        <w:pageBreakBefore w:val="0"/>
        <w:widowControl w:val="0"/>
        <w:kinsoku/>
        <w:wordWrap/>
        <w:overflowPunct/>
        <w:topLinePunct w:val="0"/>
        <w:autoSpaceDE/>
        <w:autoSpaceDN/>
        <w:bidi w:val="0"/>
        <w:adjustRightInd/>
        <w:snapToGrid/>
        <w:spacing w:before="0" w:beforeLines="0" w:after="0" w:afterLines="0"/>
        <w:textAlignment w:val="auto"/>
        <w:outlineLvl w:val="1"/>
        <w:rPr>
          <w:rFonts w:hint="eastAsia" w:ascii="Times New Roman" w:hAnsi="Times New Roman" w:eastAsia="宋体" w:cs="Times New Roman"/>
          <w:lang w:eastAsia="zh-CN"/>
        </w:rPr>
      </w:pPr>
      <w:bookmarkStart w:id="69" w:name="_Toc27147"/>
      <w:r>
        <w:rPr>
          <w:rFonts w:hint="eastAsia" w:eastAsia="宋体" w:cs="Times New Roman"/>
          <w:lang w:val="en-US" w:eastAsia="zh-CN"/>
        </w:rPr>
        <w:t>4.</w:t>
      </w:r>
      <w:r>
        <w:rPr>
          <w:rFonts w:hint="eastAsia" w:ascii="Times New Roman" w:hAnsi="Times New Roman" w:eastAsia="宋体" w:cs="Times New Roman"/>
          <w:lang w:val="en-US" w:eastAsia="zh-CN"/>
        </w:rPr>
        <w:t>2.4污染治理设施异常</w:t>
      </w:r>
      <w:bookmarkEnd w:id="69"/>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lang w:val="en-US" w:eastAsia="zh-CN"/>
        </w:rPr>
      </w:pPr>
      <w:bookmarkStart w:id="70" w:name="_Toc16317"/>
      <w:r>
        <w:rPr>
          <w:rFonts w:hint="eastAsia" w:ascii="Times New Roman" w:hAnsi="Times New Roman" w:eastAsia="宋体" w:cs="Times New Roman"/>
          <w:lang w:val="en-US" w:eastAsia="zh-CN"/>
        </w:rPr>
        <w:t>1、</w:t>
      </w:r>
      <w:r>
        <w:rPr>
          <w:rFonts w:hint="default" w:ascii="Times New Roman" w:hAnsi="Times New Roman" w:eastAsia="宋体" w:cs="Times New Roman"/>
          <w:lang w:val="en-US" w:eastAsia="zh-CN"/>
        </w:rPr>
        <w:t>油气回收装置事故排放</w:t>
      </w:r>
      <w:bookmarkEnd w:id="70"/>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油气回收装置发生故障时，可能导致成品油挥发物未经处理直接排放，对周围环境产生不利影响。</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lang w:val="en-US" w:eastAsia="zh-CN"/>
        </w:rPr>
      </w:pPr>
      <w:bookmarkStart w:id="71" w:name="_Toc15992"/>
      <w:r>
        <w:rPr>
          <w:rFonts w:hint="eastAsia" w:ascii="Times New Roman" w:hAnsi="Times New Roman" w:eastAsia="宋体" w:cs="Times New Roman"/>
          <w:lang w:val="en-US" w:eastAsia="zh-CN"/>
        </w:rPr>
        <w:t>2、</w:t>
      </w:r>
      <w:r>
        <w:rPr>
          <w:rFonts w:hint="default" w:ascii="Times New Roman" w:hAnsi="Times New Roman" w:eastAsia="宋体" w:cs="Times New Roman"/>
          <w:lang w:val="en-US" w:eastAsia="zh-CN"/>
        </w:rPr>
        <w:t>污水处理设施设备故障</w:t>
      </w:r>
      <w:bookmarkEnd w:id="71"/>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污水处理设施故障，企业产生的含油废水不能得到有效处理，排放废水不能满足相应的污水排放标准后进入九江炼油厂作为冷却水循环使用。</w:t>
      </w:r>
    </w:p>
    <w:p>
      <w:pPr>
        <w:pStyle w:val="21"/>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outlineLvl w:val="0"/>
        <w:rPr>
          <w:rFonts w:hint="eastAsia" w:ascii="Times New Roman" w:hAnsi="Times New Roman" w:eastAsia="宋体" w:cs="Times New Roman"/>
          <w:sz w:val="30"/>
          <w:szCs w:val="30"/>
          <w:lang w:eastAsia="zh-CN"/>
        </w:rPr>
      </w:pPr>
      <w:bookmarkStart w:id="72" w:name="_Toc19461"/>
      <w:r>
        <w:rPr>
          <w:rFonts w:hint="eastAsia" w:eastAsia="宋体" w:cs="Times New Roman"/>
          <w:sz w:val="30"/>
          <w:szCs w:val="30"/>
          <w:lang w:val="en-US" w:eastAsia="zh-CN"/>
        </w:rPr>
        <w:t>4</w:t>
      </w:r>
      <w:r>
        <w:rPr>
          <w:rFonts w:hint="default" w:ascii="Times New Roman" w:hAnsi="Times New Roman" w:eastAsia="宋体" w:cs="Times New Roman"/>
          <w:sz w:val="30"/>
          <w:szCs w:val="30"/>
        </w:rPr>
        <w:t>.3</w:t>
      </w:r>
      <w:r>
        <w:rPr>
          <w:rFonts w:hint="eastAsia" w:ascii="Times New Roman" w:hAnsi="Times New Roman" w:eastAsia="宋体" w:cs="Times New Roman"/>
          <w:sz w:val="30"/>
          <w:szCs w:val="30"/>
          <w:lang w:eastAsia="zh-CN"/>
        </w:rPr>
        <w:t>分析事故计算结果</w:t>
      </w:r>
      <w:bookmarkEnd w:id="72"/>
    </w:p>
    <w:p>
      <w:pPr>
        <w:pStyle w:val="22"/>
        <w:keepNext w:val="0"/>
        <w:keepLines w:val="0"/>
        <w:pageBreakBefore w:val="0"/>
        <w:widowControl w:val="0"/>
        <w:kinsoku/>
        <w:wordWrap/>
        <w:overflowPunct/>
        <w:topLinePunct w:val="0"/>
        <w:autoSpaceDE/>
        <w:autoSpaceDN/>
        <w:bidi w:val="0"/>
        <w:adjustRightInd/>
        <w:snapToGrid/>
        <w:spacing w:before="0" w:beforeLines="0" w:after="0" w:afterLines="0"/>
        <w:textAlignment w:val="auto"/>
        <w:outlineLvl w:val="1"/>
        <w:rPr>
          <w:rFonts w:hint="eastAsia" w:ascii="Times New Roman" w:hAnsi="Times New Roman" w:eastAsia="宋体" w:cs="Times New Roman"/>
          <w:lang w:eastAsia="zh-CN"/>
        </w:rPr>
      </w:pPr>
      <w:bookmarkStart w:id="73" w:name="_Toc10900"/>
      <w:r>
        <w:rPr>
          <w:rFonts w:hint="eastAsia" w:eastAsia="宋体" w:cs="Times New Roman"/>
          <w:lang w:val="en-US" w:eastAsia="zh-CN"/>
        </w:rPr>
        <w:t>4.</w:t>
      </w:r>
      <w:r>
        <w:rPr>
          <w:rFonts w:hint="eastAsia" w:ascii="Times New Roman" w:hAnsi="Times New Roman" w:eastAsia="宋体" w:cs="Times New Roman"/>
          <w:lang w:val="en-US" w:eastAsia="zh-CN"/>
        </w:rPr>
        <w:t>3.1火灾、爆炸事故后果预测</w:t>
      </w:r>
      <w:bookmarkEnd w:id="73"/>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对于爆炸事故，本项目采用蒸汽云爆炸伤害模型。蒸汽云爆炸的能量常用TNT当量描述，即参与爆炸的可燃气体释放的能量折合为能释放相同能量的TNT炸药的量，这样，就可以利用有关TNT爆炸效应的实验数据预测蒸汽云爆炸效应，采用如下模式进行预测</w:t>
      </w:r>
      <w:r>
        <w:rPr>
          <w:rFonts w:hint="eastAsia" w:ascii="Times New Roman" w:hAnsi="Times New Roman" w:eastAsia="宋体" w:cs="Times New Roman"/>
          <w:lang w:val="en-US" w:eastAsia="zh-CN"/>
        </w:rPr>
        <w:t>：</w:t>
      </w:r>
    </w:p>
    <w:p>
      <w:pPr>
        <w:pStyle w:val="1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W</w:t>
      </w:r>
      <w:r>
        <w:rPr>
          <w:rFonts w:hint="default" w:ascii="Times New Roman" w:hAnsi="Times New Roman" w:eastAsia="宋体" w:cs="Times New Roman"/>
          <w:vertAlign w:val="subscript"/>
        </w:rPr>
        <w:t>TNT</w:t>
      </w:r>
      <w:r>
        <w:rPr>
          <w:rFonts w:hint="default" w:ascii="Times New Roman" w:hAnsi="Times New Roman" w:eastAsia="宋体" w:cs="Times New Roman"/>
        </w:rPr>
        <w:t>=1.8·a·W</w:t>
      </w:r>
      <w:r>
        <w:rPr>
          <w:rFonts w:hint="default" w:ascii="Times New Roman" w:hAnsi="Times New Roman" w:eastAsia="宋体" w:cs="Times New Roman"/>
          <w:vertAlign w:val="subscript"/>
        </w:rPr>
        <w:t>f</w:t>
      </w:r>
      <w:r>
        <w:rPr>
          <w:rFonts w:hint="default" w:ascii="Times New Roman" w:hAnsi="Times New Roman" w:eastAsia="宋体" w:cs="Times New Roman"/>
        </w:rPr>
        <w:t>·Q</w:t>
      </w:r>
      <w:r>
        <w:rPr>
          <w:rFonts w:hint="default" w:ascii="Times New Roman" w:hAnsi="Times New Roman" w:eastAsia="宋体" w:cs="Times New Roman"/>
          <w:vertAlign w:val="subscript"/>
        </w:rPr>
        <w:t>f</w:t>
      </w:r>
      <w:r>
        <w:rPr>
          <w:rFonts w:hint="default" w:ascii="Times New Roman" w:hAnsi="Times New Roman" w:eastAsia="宋体" w:cs="Times New Roman"/>
        </w:rPr>
        <w:t>/ Q</w:t>
      </w:r>
      <w:r>
        <w:rPr>
          <w:rFonts w:hint="default" w:ascii="Times New Roman" w:hAnsi="Times New Roman" w:eastAsia="宋体" w:cs="Times New Roman"/>
          <w:vertAlign w:val="subscript"/>
        </w:rPr>
        <w:t>TNT</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lang w:eastAsia="zh-CN"/>
        </w:rPr>
      </w:pPr>
      <w:r>
        <w:rPr>
          <w:rFonts w:hint="default" w:ascii="Times New Roman" w:hAnsi="Times New Roman" w:eastAsia="宋体" w:cs="Times New Roman"/>
        </w:rPr>
        <w:t>式中</w:t>
      </w:r>
      <w:r>
        <w:rPr>
          <w:rFonts w:hint="eastAsia" w:cs="Times New Roman"/>
          <w:lang w:eastAsia="zh-CN"/>
        </w:rPr>
        <w:t>：</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1.8为地面爆炸系数</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W</w:t>
      </w:r>
      <w:r>
        <w:rPr>
          <w:rFonts w:hint="default" w:ascii="Times New Roman" w:hAnsi="Times New Roman" w:eastAsia="宋体" w:cs="Times New Roman"/>
          <w:vertAlign w:val="subscript"/>
        </w:rPr>
        <w:t>TNT</w:t>
      </w:r>
      <w:r>
        <w:rPr>
          <w:rFonts w:hint="eastAsia" w:cs="Times New Roman"/>
          <w:lang w:val="en-US" w:eastAsia="zh-CN"/>
        </w:rPr>
        <w:t>-</w:t>
      </w:r>
      <w:r>
        <w:rPr>
          <w:rFonts w:hint="default" w:ascii="Times New Roman" w:hAnsi="Times New Roman" w:eastAsia="宋体" w:cs="Times New Roman"/>
        </w:rPr>
        <w:t>蒸气云的TNT当量，kg;</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A</w:t>
      </w:r>
      <w:r>
        <w:rPr>
          <w:rFonts w:hint="eastAsia" w:cs="Times New Roman"/>
          <w:lang w:val="en-US" w:eastAsia="zh-CN"/>
        </w:rPr>
        <w:t>-</w:t>
      </w:r>
      <w:r>
        <w:rPr>
          <w:rFonts w:hint="default" w:ascii="Times New Roman" w:hAnsi="Times New Roman" w:eastAsia="宋体" w:cs="Times New Roman"/>
        </w:rPr>
        <w:t>蒸气云的TNT当量系数，取3%;</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W</w:t>
      </w:r>
      <w:r>
        <w:rPr>
          <w:rFonts w:hint="default" w:ascii="Times New Roman" w:hAnsi="Times New Roman" w:eastAsia="宋体" w:cs="Times New Roman"/>
          <w:vertAlign w:val="subscript"/>
        </w:rPr>
        <w:t>f</w:t>
      </w:r>
      <w:r>
        <w:rPr>
          <w:rFonts w:hint="eastAsia" w:cs="Times New Roman"/>
          <w:lang w:val="en-US" w:eastAsia="zh-CN"/>
        </w:rPr>
        <w:t>-</w:t>
      </w:r>
      <w:r>
        <w:rPr>
          <w:rFonts w:hint="default" w:ascii="Times New Roman" w:hAnsi="Times New Roman" w:eastAsia="宋体" w:cs="Times New Roman"/>
        </w:rPr>
        <w:t>蒸气云爆炸中燃烧的总质量，kg;</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Q</w:t>
      </w:r>
      <w:r>
        <w:rPr>
          <w:rFonts w:hint="default" w:ascii="Times New Roman" w:hAnsi="Times New Roman" w:eastAsia="宋体" w:cs="Times New Roman"/>
          <w:vertAlign w:val="subscript"/>
        </w:rPr>
        <w:t>f</w:t>
      </w:r>
      <w:r>
        <w:rPr>
          <w:rFonts w:hint="eastAsia" w:cs="Times New Roman"/>
          <w:lang w:val="en-US" w:eastAsia="zh-CN"/>
        </w:rPr>
        <w:t>-</w:t>
      </w:r>
      <w:r>
        <w:rPr>
          <w:rFonts w:hint="default" w:ascii="Times New Roman" w:hAnsi="Times New Roman" w:eastAsia="宋体" w:cs="Times New Roman"/>
        </w:rPr>
        <w:t>为计算对象的燃烧热，kJ/kg;</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Q</w:t>
      </w:r>
      <w:r>
        <w:rPr>
          <w:rFonts w:hint="default" w:ascii="Times New Roman" w:hAnsi="Times New Roman" w:eastAsia="宋体" w:cs="Times New Roman"/>
          <w:vertAlign w:val="subscript"/>
        </w:rPr>
        <w:t>TNT</w:t>
      </w:r>
      <w:r>
        <w:rPr>
          <w:rFonts w:hint="eastAsia" w:cs="Times New Roman"/>
          <w:lang w:val="en-US" w:eastAsia="zh-CN"/>
        </w:rPr>
        <w:t>-</w:t>
      </w:r>
      <w:r>
        <w:rPr>
          <w:rFonts w:hint="default" w:ascii="Times New Roman" w:hAnsi="Times New Roman" w:eastAsia="宋体" w:cs="Times New Roman"/>
        </w:rPr>
        <w:t>TNT的爆热，KJ/kg，取平均爆破能量值4520kJ/kg。</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爆炸模型计算结果见下表。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4"/>
          <w:szCs w:val="24"/>
        </w:rPr>
      </w:pPr>
      <w:r>
        <w:rPr>
          <w:rFonts w:hint="eastAsia"/>
          <w:b/>
          <w:bCs/>
          <w:sz w:val="24"/>
          <w:szCs w:val="24"/>
        </w:rPr>
        <w:t>表4</w:t>
      </w:r>
      <w:r>
        <w:rPr>
          <w:rFonts w:hint="eastAsia"/>
          <w:b/>
          <w:bCs/>
          <w:sz w:val="24"/>
          <w:szCs w:val="24"/>
          <w:lang w:val="en-US" w:eastAsia="zh-CN"/>
        </w:rPr>
        <w:t>.3</w:t>
      </w:r>
      <w:r>
        <w:rPr>
          <w:rFonts w:hint="eastAsia"/>
          <w:b/>
          <w:bCs/>
          <w:sz w:val="24"/>
          <w:szCs w:val="24"/>
        </w:rPr>
        <w:t>-</w:t>
      </w:r>
      <w:r>
        <w:rPr>
          <w:rFonts w:hint="eastAsia"/>
          <w:b/>
          <w:bCs/>
          <w:sz w:val="24"/>
          <w:szCs w:val="24"/>
          <w:lang w:val="en-US" w:eastAsia="zh-CN"/>
        </w:rPr>
        <w:t>1</w:t>
      </w:r>
      <w:r>
        <w:rPr>
          <w:rFonts w:hint="eastAsia"/>
          <w:b/>
          <w:bCs/>
          <w:sz w:val="24"/>
          <w:szCs w:val="24"/>
        </w:rPr>
        <w:t xml:space="preserve">  爆炸模型计算结果表</w:t>
      </w:r>
    </w:p>
    <w:tbl>
      <w:tblPr>
        <w:tblStyle w:val="15"/>
        <w:tblW w:w="486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1016"/>
        <w:gridCol w:w="1419"/>
        <w:gridCol w:w="1216"/>
        <w:gridCol w:w="1216"/>
        <w:gridCol w:w="1216"/>
        <w:gridCol w:w="11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7"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事故单元</w:t>
            </w:r>
          </w:p>
        </w:tc>
        <w:tc>
          <w:tcPr>
            <w:tcW w:w="612"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总质量(t)</w:t>
            </w:r>
          </w:p>
        </w:tc>
        <w:tc>
          <w:tcPr>
            <w:tcW w:w="855"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TNT当量(kg)</w:t>
            </w:r>
          </w:p>
        </w:tc>
        <w:tc>
          <w:tcPr>
            <w:tcW w:w="733"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死亡半径(m)</w:t>
            </w:r>
          </w:p>
        </w:tc>
        <w:tc>
          <w:tcPr>
            <w:tcW w:w="733"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重伤半径(m)</w:t>
            </w:r>
          </w:p>
        </w:tc>
        <w:tc>
          <w:tcPr>
            <w:tcW w:w="733"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轻伤半径(m)</w:t>
            </w:r>
          </w:p>
        </w:tc>
        <w:tc>
          <w:tcPr>
            <w:tcW w:w="684"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财产损失(m)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7"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柴油储罐</w:t>
            </w:r>
          </w:p>
        </w:tc>
        <w:tc>
          <w:tcPr>
            <w:tcW w:w="1016" w:type="dxa"/>
            <w:shd w:val="clear" w:color="auto" w:fill="auto"/>
            <w:noWrap w:val="0"/>
            <w:vAlign w:val="center"/>
          </w:tcPr>
          <w:p>
            <w:pPr>
              <w:pStyle w:val="26"/>
              <w:rPr>
                <w:rFonts w:hint="default" w:ascii="Times New Roman" w:hAnsi="Times New Roman" w:eastAsia="宋体" w:cs="Times New Roman"/>
                <w:sz w:val="21"/>
                <w:szCs w:val="21"/>
              </w:rPr>
            </w:pPr>
            <w:r>
              <w:rPr>
                <w:rFonts w:hint="eastAsia" w:cs="Times New Roman"/>
                <w:sz w:val="21"/>
                <w:szCs w:val="21"/>
                <w:lang w:val="en-US" w:eastAsia="zh-CN"/>
              </w:rPr>
              <w:t>68800</w:t>
            </w:r>
          </w:p>
        </w:tc>
        <w:tc>
          <w:tcPr>
            <w:tcW w:w="855"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11595615.93</w:t>
            </w:r>
          </w:p>
        </w:tc>
        <w:tc>
          <w:tcPr>
            <w:tcW w:w="733"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433.8</w:t>
            </w:r>
          </w:p>
        </w:tc>
        <w:tc>
          <w:tcPr>
            <w:tcW w:w="733"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894</w:t>
            </w:r>
          </w:p>
        </w:tc>
        <w:tc>
          <w:tcPr>
            <w:tcW w:w="733"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1603.6</w:t>
            </w:r>
          </w:p>
        </w:tc>
        <w:tc>
          <w:tcPr>
            <w:tcW w:w="684"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1041.2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7"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汽油储罐</w:t>
            </w:r>
          </w:p>
        </w:tc>
        <w:tc>
          <w:tcPr>
            <w:tcW w:w="1016" w:type="dxa"/>
            <w:shd w:val="clear" w:color="auto" w:fill="auto"/>
            <w:noWrap w:val="0"/>
            <w:vAlign w:val="center"/>
          </w:tcPr>
          <w:p>
            <w:pPr>
              <w:pStyle w:val="26"/>
              <w:rPr>
                <w:rFonts w:hint="default" w:ascii="Times New Roman" w:hAnsi="Times New Roman" w:eastAsia="宋体" w:cs="Times New Roman"/>
                <w:sz w:val="21"/>
                <w:szCs w:val="21"/>
              </w:rPr>
            </w:pPr>
            <w:r>
              <w:rPr>
                <w:rFonts w:hint="eastAsia" w:cs="Times New Roman"/>
                <w:sz w:val="21"/>
                <w:szCs w:val="21"/>
                <w:lang w:val="en-US" w:eastAsia="zh-CN"/>
              </w:rPr>
              <w:t>50750</w:t>
            </w:r>
          </w:p>
        </w:tc>
        <w:tc>
          <w:tcPr>
            <w:tcW w:w="855"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3104283.18</w:t>
            </w:r>
          </w:p>
        </w:tc>
        <w:tc>
          <w:tcPr>
            <w:tcW w:w="733"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266.4</w:t>
            </w:r>
          </w:p>
        </w:tc>
        <w:tc>
          <w:tcPr>
            <w:tcW w:w="733"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576.2</w:t>
            </w:r>
          </w:p>
        </w:tc>
        <w:tc>
          <w:tcPr>
            <w:tcW w:w="733"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1033.5</w:t>
            </w:r>
          </w:p>
        </w:tc>
        <w:tc>
          <w:tcPr>
            <w:tcW w:w="684"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671</w:t>
            </w:r>
          </w:p>
        </w:tc>
      </w:tr>
    </w:tbl>
    <w:p>
      <w:pPr>
        <w:pStyle w:val="19"/>
        <w:ind w:firstLine="0" w:firstLineChars="0"/>
        <w:rPr>
          <w:rFonts w:hint="default" w:ascii="Times New Roman" w:hAnsi="Times New Roman" w:eastAsia="宋体" w:cs="Times New Roman"/>
          <w:color w:val="FF0000"/>
        </w:rPr>
      </w:pPr>
      <w:r>
        <w:rPr>
          <w:rFonts w:hint="default" w:ascii="Times New Roman" w:hAnsi="Times New Roman" w:eastAsia="宋体" w:cs="Times New Roman"/>
        </w:rPr>
        <w:drawing>
          <wp:inline distT="0" distB="0" distL="114300" distR="114300">
            <wp:extent cx="5209540" cy="3681730"/>
            <wp:effectExtent l="0" t="0" r="10160" b="13970"/>
            <wp:docPr id="8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5"/>
                    <pic:cNvPicPr>
                      <a:picLocks noChangeAspect="1"/>
                    </pic:cNvPicPr>
                  </pic:nvPicPr>
                  <pic:blipFill>
                    <a:blip r:embed="rId32"/>
                    <a:stretch>
                      <a:fillRect/>
                    </a:stretch>
                  </pic:blipFill>
                  <pic:spPr>
                    <a:xfrm>
                      <a:off x="0" y="0"/>
                      <a:ext cx="5209540" cy="36817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4"/>
          <w:szCs w:val="24"/>
        </w:rPr>
      </w:pPr>
      <w:r>
        <w:rPr>
          <w:rFonts w:hint="eastAsia"/>
          <w:b/>
          <w:bCs/>
          <w:sz w:val="24"/>
          <w:szCs w:val="24"/>
          <w:lang w:eastAsia="zh-CN"/>
        </w:rPr>
        <w:t>图</w:t>
      </w:r>
      <w:r>
        <w:rPr>
          <w:rFonts w:hint="eastAsia"/>
          <w:b/>
          <w:bCs/>
          <w:sz w:val="24"/>
          <w:szCs w:val="24"/>
        </w:rPr>
        <w:t>4</w:t>
      </w:r>
      <w:r>
        <w:rPr>
          <w:rFonts w:hint="eastAsia"/>
          <w:b/>
          <w:bCs/>
          <w:sz w:val="24"/>
          <w:szCs w:val="24"/>
          <w:lang w:val="en-US" w:eastAsia="zh-CN"/>
        </w:rPr>
        <w:t>.3</w:t>
      </w:r>
      <w:r>
        <w:rPr>
          <w:rFonts w:hint="eastAsia"/>
          <w:b/>
          <w:bCs/>
          <w:sz w:val="24"/>
          <w:szCs w:val="24"/>
        </w:rPr>
        <w:t>-</w:t>
      </w:r>
      <w:r>
        <w:rPr>
          <w:rFonts w:hint="eastAsia"/>
          <w:b/>
          <w:bCs/>
          <w:sz w:val="24"/>
          <w:szCs w:val="24"/>
          <w:lang w:val="en-US" w:eastAsia="zh-CN"/>
        </w:rPr>
        <w:t>1</w:t>
      </w:r>
      <w:r>
        <w:rPr>
          <w:rFonts w:hint="eastAsia"/>
          <w:b/>
          <w:bCs/>
          <w:sz w:val="24"/>
          <w:szCs w:val="24"/>
        </w:rPr>
        <w:t xml:space="preserve">  汽油储罐爆炸事故影响范围图</w:t>
      </w:r>
    </w:p>
    <w:p>
      <w:pPr>
        <w:pStyle w:val="19"/>
        <w:ind w:firstLine="0" w:firstLineChars="0"/>
        <w:rPr>
          <w:rFonts w:hint="default" w:ascii="Times New Roman" w:hAnsi="Times New Roman" w:eastAsia="宋体" w:cs="Times New Roman"/>
          <w:color w:val="FF0000"/>
        </w:rPr>
      </w:pPr>
      <w:r>
        <w:rPr>
          <w:rFonts w:hint="default" w:ascii="Times New Roman" w:hAnsi="Times New Roman" w:eastAsia="宋体" w:cs="Times New Roman"/>
        </w:rPr>
        <w:drawing>
          <wp:inline distT="0" distB="0" distL="114300" distR="114300">
            <wp:extent cx="5248275" cy="3699510"/>
            <wp:effectExtent l="0" t="0" r="9525" b="15240"/>
            <wp:docPr id="8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6"/>
                    <pic:cNvPicPr>
                      <a:picLocks noChangeAspect="1"/>
                    </pic:cNvPicPr>
                  </pic:nvPicPr>
                  <pic:blipFill>
                    <a:blip r:embed="rId33"/>
                    <a:stretch>
                      <a:fillRect/>
                    </a:stretch>
                  </pic:blipFill>
                  <pic:spPr>
                    <a:xfrm>
                      <a:off x="0" y="0"/>
                      <a:ext cx="5248275" cy="36995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4"/>
          <w:szCs w:val="24"/>
        </w:rPr>
      </w:pPr>
      <w:r>
        <w:rPr>
          <w:rFonts w:hint="eastAsia"/>
          <w:b/>
          <w:bCs/>
          <w:sz w:val="24"/>
          <w:szCs w:val="24"/>
          <w:lang w:eastAsia="zh-CN"/>
        </w:rPr>
        <w:t>图</w:t>
      </w:r>
      <w:r>
        <w:rPr>
          <w:rFonts w:hint="eastAsia"/>
          <w:b/>
          <w:bCs/>
          <w:sz w:val="24"/>
          <w:szCs w:val="24"/>
        </w:rPr>
        <w:t>4</w:t>
      </w:r>
      <w:r>
        <w:rPr>
          <w:rFonts w:hint="eastAsia"/>
          <w:b/>
          <w:bCs/>
          <w:sz w:val="24"/>
          <w:szCs w:val="24"/>
          <w:lang w:val="en-US" w:eastAsia="zh-CN"/>
        </w:rPr>
        <w:t>.3</w:t>
      </w:r>
      <w:r>
        <w:rPr>
          <w:rFonts w:hint="eastAsia"/>
          <w:b/>
          <w:bCs/>
          <w:sz w:val="24"/>
          <w:szCs w:val="24"/>
        </w:rPr>
        <w:t>-</w:t>
      </w:r>
      <w:r>
        <w:rPr>
          <w:rFonts w:hint="eastAsia"/>
          <w:b/>
          <w:bCs/>
          <w:sz w:val="24"/>
          <w:szCs w:val="24"/>
          <w:lang w:val="en-US" w:eastAsia="zh-CN"/>
        </w:rPr>
        <w:t>2</w:t>
      </w:r>
      <w:r>
        <w:rPr>
          <w:rFonts w:hint="eastAsia"/>
          <w:b/>
          <w:bCs/>
          <w:sz w:val="24"/>
          <w:szCs w:val="24"/>
        </w:rPr>
        <w:t xml:space="preserve">  柴油储罐爆炸事故影响范围图</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由表3.3-1可知，企业主要火灾爆炸风险源为油罐，当汽油储罐整罐物料发生爆炸时，死亡半径达到266.4m，重伤半径达到576.2m，轻伤半径达到1033.5m，财产损失半径达到671m；当柴油储罐整罐物料发生爆炸时，死亡半径达到433.8m，重伤半径达到894m，轻伤半径达到1603.6m，财产损失半径达到1041.2m；将对整个厂区产生巨大影响，且可能对附近的九江市第五人民医院、九江市技工学校、大王庙村居民区、吴家村等产生直接影响。</w:t>
      </w:r>
    </w:p>
    <w:p>
      <w:pPr>
        <w:pStyle w:val="22"/>
        <w:keepNext w:val="0"/>
        <w:keepLines w:val="0"/>
        <w:pageBreakBefore w:val="0"/>
        <w:widowControl w:val="0"/>
        <w:kinsoku/>
        <w:wordWrap/>
        <w:overflowPunct/>
        <w:topLinePunct w:val="0"/>
        <w:autoSpaceDE/>
        <w:autoSpaceDN/>
        <w:bidi w:val="0"/>
        <w:adjustRightInd/>
        <w:snapToGrid/>
        <w:spacing w:before="0" w:beforeLines="0" w:after="0" w:afterLines="0"/>
        <w:textAlignment w:val="auto"/>
        <w:outlineLvl w:val="1"/>
        <w:rPr>
          <w:rFonts w:hint="eastAsia" w:ascii="Times New Roman" w:hAnsi="Times New Roman" w:eastAsia="宋体" w:cs="Times New Roman"/>
          <w:lang w:eastAsia="zh-CN"/>
        </w:rPr>
      </w:pPr>
      <w:bookmarkStart w:id="74" w:name="_Toc19447"/>
      <w:r>
        <w:rPr>
          <w:rFonts w:hint="eastAsia" w:eastAsia="宋体" w:cs="Times New Roman"/>
          <w:lang w:val="en-US" w:eastAsia="zh-CN"/>
        </w:rPr>
        <w:t>4.</w:t>
      </w:r>
      <w:r>
        <w:rPr>
          <w:rFonts w:hint="eastAsia" w:ascii="Times New Roman" w:hAnsi="Times New Roman" w:eastAsia="宋体" w:cs="Times New Roman"/>
          <w:lang w:val="en-US" w:eastAsia="zh-CN"/>
        </w:rPr>
        <w:t>3.2火灾及爆炸伴生环境危害后果计算</w:t>
      </w:r>
      <w:bookmarkEnd w:id="74"/>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根据《建设项目环境风险评价技术导则》（HJ/T169—2004），本次评估采用多烟团模式预测火灾及爆炸后产生CO和SO2进行后果计算，预测模式如下：</w:t>
      </w:r>
    </w:p>
    <w:p>
      <w:pPr>
        <w:pStyle w:val="1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object>
          <v:shape id="_x0000_i1026" o:spt="75" type="#_x0000_t75" style="height:38.2pt;width:207.3pt;" o:ole="t" filled="f" o:preferrelative="t" stroked="f" coordsize="21600,21600">
            <v:path/>
            <v:fill on="f" focussize="0,0"/>
            <v:stroke on="f"/>
            <v:imagedata r:id="rId35" o:title=""/>
            <o:lock v:ext="edit" aspectratio="t"/>
            <w10:wrap type="none"/>
            <w10:anchorlock/>
          </v:shape>
          <o:OLEObject Type="Embed" ProgID="Equation.3" ShapeID="_x0000_i1026" DrawAspect="Content" ObjectID="_1468075726" r:id="rId34">
            <o:LockedField>false</o:LockedField>
          </o:OLEObject>
        </w:object>
      </w:r>
      <w:r>
        <w:rPr>
          <w:rFonts w:hint="default" w:ascii="Times New Roman" w:hAnsi="Times New Roman" w:eastAsia="宋体" w:cs="Times New Roman"/>
        </w:rPr>
        <w:object>
          <v:shape id="_x0000_i1027" o:spt="75" type="#_x0000_t75" style="height:39.45pt;width:137.75pt;" o:ole="t" filled="f" o:preferrelative="t" stroked="f" coordsize="21600,21600">
            <v:path/>
            <v:fill on="f" focussize="0,0"/>
            <v:stroke on="f"/>
            <v:imagedata r:id="rId37" o:title=""/>
            <o:lock v:ext="edit" aspectratio="t"/>
            <w10:wrap type="none"/>
            <w10:anchorlock/>
          </v:shape>
          <o:OLEObject Type="Embed" ProgID="Equation.3" ShapeID="_x0000_i1027" DrawAspect="Content" ObjectID="_1468075727" r:id="rId36">
            <o:LockedField>false</o:LockedField>
          </o:OLEObject>
        </w:objec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式中：</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C</w:t>
      </w:r>
      <w:r>
        <w:rPr>
          <w:rFonts w:hint="default" w:ascii="Times New Roman" w:hAnsi="Times New Roman" w:eastAsia="宋体" w:cs="Times New Roman"/>
        </w:rPr>
        <w:object>
          <v:shape id="_x0000_i1028" o:spt="75" type="#_x0000_t75" style="height:16.9pt;width:35.7pt;" o:ole="t" filled="f" o:preferrelative="t" stroked="f" coordsize="21600,21600">
            <v:path/>
            <v:fill on="f" focussize="0,0"/>
            <v:stroke on="f"/>
            <v:imagedata r:id="rId39" o:title=""/>
            <o:lock v:ext="edit" aspectratio="t"/>
            <w10:wrap type="none"/>
            <w10:anchorlock/>
          </v:shape>
          <o:OLEObject Type="Embed" ProgID="Equation.3" ShapeID="_x0000_i1028" DrawAspect="Content" ObjectID="_1468075728" r:id="rId38">
            <o:LockedField>false</o:LockedField>
          </o:OLEObject>
        </w:object>
      </w:r>
      <w:r>
        <w:rPr>
          <w:rFonts w:hint="eastAsia" w:cs="Times New Roman"/>
          <w:lang w:val="en-US" w:eastAsia="zh-CN"/>
        </w:rPr>
        <w:t>-</w:t>
      </w:r>
      <w:r>
        <w:rPr>
          <w:rFonts w:hint="default" w:ascii="Times New Roman" w:hAnsi="Times New Roman" w:eastAsia="宋体" w:cs="Times New Roman"/>
        </w:rPr>
        <w:t>下风向地面</w:t>
      </w:r>
      <w:r>
        <w:rPr>
          <w:rFonts w:hint="default" w:ascii="Times New Roman" w:hAnsi="Times New Roman" w:eastAsia="宋体" w:cs="Times New Roman"/>
        </w:rPr>
        <w:object>
          <v:shape id="_x0000_i1029" o:spt="75" type="#_x0000_t75" style="height:16.9pt;width:28.8pt;" o:ole="t" filled="f" o:preferrelative="t" stroked="f" coordsize="21600,21600">
            <v:path/>
            <v:fill on="f" focussize="0,0"/>
            <v:stroke on="f"/>
            <v:imagedata r:id="rId41" o:title=""/>
            <o:lock v:ext="edit" aspectratio="t"/>
            <w10:wrap type="none"/>
            <w10:anchorlock/>
          </v:shape>
          <o:OLEObject Type="Embed" ProgID="Equation.3" ShapeID="_x0000_i1029" DrawAspect="Content" ObjectID="_1468075729" r:id="rId40">
            <o:LockedField>false</o:LockedField>
          </o:OLEObject>
        </w:object>
      </w:r>
      <w:r>
        <w:rPr>
          <w:rFonts w:hint="default" w:ascii="Times New Roman" w:hAnsi="Times New Roman" w:eastAsia="宋体" w:cs="Times New Roman"/>
        </w:rPr>
        <w:t>坐标处的空气中污染物浓度(mg.m</w:t>
      </w:r>
      <w:r>
        <w:rPr>
          <w:rFonts w:hint="default" w:ascii="Times New Roman" w:hAnsi="Times New Roman" w:eastAsia="宋体" w:cs="Times New Roman"/>
          <w:vertAlign w:val="superscript"/>
        </w:rPr>
        <w:t>-3</w:t>
      </w:r>
      <w:r>
        <w:rPr>
          <w:rFonts w:hint="default" w:ascii="Times New Roman" w:hAnsi="Times New Roman" w:eastAsia="宋体" w:cs="Times New Roman"/>
        </w:rPr>
        <w:t>)；</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object>
          <v:shape id="_x0000_i1030" o:spt="75" type="#_x0000_t75" style="height:16.9pt;width:43.2pt;" o:ole="t" filled="f" o:preferrelative="t" stroked="f" coordsize="21600,21600">
            <v:path/>
            <v:fill on="f" focussize="0,0"/>
            <v:stroke on="f"/>
            <v:imagedata r:id="rId43" o:title=""/>
            <o:lock v:ext="edit" aspectratio="t"/>
            <w10:wrap type="none"/>
            <w10:anchorlock/>
          </v:shape>
          <o:OLEObject Type="Embed" ProgID="Equation.3" ShapeID="_x0000_i1030" DrawAspect="Content" ObjectID="_1468075730" r:id="rId42">
            <o:LockedField>false</o:LockedField>
          </o:OLEObject>
        </w:object>
      </w:r>
      <w:r>
        <w:rPr>
          <w:rFonts w:hint="eastAsia" w:cs="Times New Roman"/>
          <w:lang w:val="en-US" w:eastAsia="zh-CN"/>
        </w:rPr>
        <w:t>-</w:t>
      </w:r>
      <w:r>
        <w:rPr>
          <w:rFonts w:hint="default" w:ascii="Times New Roman" w:hAnsi="Times New Roman" w:eastAsia="宋体" w:cs="Times New Roman"/>
        </w:rPr>
        <w:t>烟团中心坐标；</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Q</w:t>
      </w:r>
      <w:r>
        <w:rPr>
          <w:rFonts w:hint="eastAsia" w:cs="Times New Roman"/>
          <w:lang w:val="en-US" w:eastAsia="zh-CN"/>
        </w:rPr>
        <w:t>-</w:t>
      </w:r>
      <w:r>
        <w:rPr>
          <w:rFonts w:hint="default" w:ascii="Times New Roman" w:hAnsi="Times New Roman" w:eastAsia="宋体" w:cs="Times New Roman"/>
        </w:rPr>
        <w:t>事故期间烟团的排放量；</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σX、σy、σz</w:t>
      </w:r>
      <w:r>
        <w:rPr>
          <w:rFonts w:hint="eastAsia" w:cs="Times New Roman"/>
          <w:lang w:val="en-US" w:eastAsia="zh-CN"/>
        </w:rPr>
        <w:t>-</w:t>
      </w:r>
      <w:r>
        <w:rPr>
          <w:rFonts w:hint="default" w:ascii="Times New Roman" w:hAnsi="Times New Roman" w:eastAsia="宋体" w:cs="Times New Roman"/>
        </w:rPr>
        <w:t>为X、Y、Z方向的扩散参数(m)。常取σX =σy</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对于瞬时或短时间事故，可采用下述变天条件下多烟团模式：</w:t>
      </w:r>
    </w:p>
    <w:p>
      <w:pPr>
        <w:pStyle w:val="1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object>
          <v:shape id="_x0000_i1031" o:spt="75" type="#_x0000_t75" style="height:40.05pt;width:396.2pt;" o:ole="t" filled="f" o:preferrelative="t" stroked="f" coordsize="21600,21600">
            <v:path/>
            <v:fill on="f" focussize="0,0"/>
            <v:stroke on="f"/>
            <v:imagedata r:id="rId45" o:title=""/>
            <o:lock v:ext="edit" aspectratio="t"/>
            <w10:wrap type="none"/>
            <w10:anchorlock/>
          </v:shape>
          <o:OLEObject Type="Embed" ProgID="Equation.DSMT4" ShapeID="_x0000_i1031" DrawAspect="Content" ObjectID="_1468075731" r:id="rId44">
            <o:LockedField>false</o:LockedField>
          </o:OLEObject>
        </w:objec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式中：</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object>
          <v:shape id="_x0000_i1032" o:spt="75" type="#_x0000_t75" style="height:21.3pt;width:69.5pt;" o:ole="t" filled="f" o:preferrelative="t" stroked="f" coordsize="21600,21600">
            <v:path/>
            <v:fill on="f" focussize="0,0"/>
            <v:stroke on="f"/>
            <v:imagedata r:id="rId47" o:title=""/>
            <o:lock v:ext="edit" aspectratio="t"/>
            <w10:wrap type="none"/>
            <w10:anchorlock/>
          </v:shape>
          <o:OLEObject Type="Embed" ProgID="Equation.DSMT4" ShapeID="_x0000_i1032" DrawAspect="Content" ObjectID="_1468075732" r:id="rId46">
            <o:LockedField>false</o:LockedField>
          </o:OLEObject>
        </w:object>
      </w:r>
      <w:r>
        <w:rPr>
          <w:rFonts w:hint="eastAsia" w:ascii="Times New Roman" w:hAnsi="Times New Roman" w:eastAsia="宋体" w:cs="Times New Roman"/>
          <w:lang w:val="en-US" w:eastAsia="zh-CN"/>
        </w:rPr>
        <w:t>-</w:t>
      </w:r>
      <w:r>
        <w:rPr>
          <w:rFonts w:hint="default" w:ascii="Times New Roman" w:hAnsi="Times New Roman" w:eastAsia="宋体" w:cs="Times New Roman"/>
        </w:rPr>
        <w:t>第i个烟团在</w:t>
      </w:r>
      <w:r>
        <w:rPr>
          <w:rFonts w:hint="default" w:ascii="Times New Roman" w:hAnsi="Times New Roman" w:eastAsia="宋体" w:cs="Times New Roman"/>
        </w:rPr>
        <w:object>
          <v:shape id="_x0000_i1033" o:spt="75" type="#_x0000_t75" style="height:16.9pt;width:12.5pt;" o:ole="t" filled="f" o:preferrelative="t" stroked="f" coordsize="21600,21600">
            <v:path/>
            <v:fill on="f" focussize="0,0"/>
            <v:stroke on="f"/>
            <v:imagedata r:id="rId49" o:title=""/>
            <o:lock v:ext="edit" aspectratio="t"/>
            <w10:wrap type="none"/>
            <w10:anchorlock/>
          </v:shape>
          <o:OLEObject Type="Embed" ProgID="Equation.3" ShapeID="_x0000_i1033" DrawAspect="Content" ObjectID="_1468075733" r:id="rId48">
            <o:LockedField>false</o:LockedField>
          </o:OLEObject>
        </w:object>
      </w:r>
      <w:r>
        <w:rPr>
          <w:rFonts w:hint="default" w:ascii="Times New Roman" w:hAnsi="Times New Roman" w:eastAsia="宋体" w:cs="Times New Roman"/>
        </w:rPr>
        <w:t>时刻(即第w时段)在点(x,y,0)产生的地面浓度；</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object>
          <v:shape id="_x0000_i1034" o:spt="75" type="#_x0000_t75" style="height:15.65pt;width:15.05pt;" o:ole="t" filled="f" o:preferrelative="t" stroked="f" coordsize="21600,21600">
            <v:path/>
            <v:fill on="f" focussize="0,0"/>
            <v:stroke on="f"/>
            <v:imagedata r:id="rId51" o:title=""/>
            <o:lock v:ext="edit" aspectratio="t"/>
            <w10:wrap type="none"/>
            <w10:anchorlock/>
          </v:shape>
          <o:OLEObject Type="Embed" ProgID="Equation.3" ShapeID="_x0000_i1034" DrawAspect="Content" ObjectID="_1468075734" r:id="rId50">
            <o:LockedField>false</o:LockedField>
          </o:OLEObject>
        </w:object>
      </w:r>
      <w:r>
        <w:rPr>
          <w:rFonts w:hint="default" w:ascii="Times New Roman" w:hAnsi="Times New Roman" w:eastAsia="宋体" w:cs="Times New Roman"/>
        </w:rPr>
        <w:tab/>
      </w:r>
      <w:r>
        <w:rPr>
          <w:rFonts w:hint="eastAsia" w:cs="Times New Roman"/>
          <w:lang w:val="en-US" w:eastAsia="zh-CN"/>
        </w:rPr>
        <w:t>-</w:t>
      </w:r>
      <w:r>
        <w:rPr>
          <w:rFonts w:hint="default" w:ascii="Times New Roman" w:hAnsi="Times New Roman" w:eastAsia="宋体" w:cs="Times New Roman"/>
        </w:rPr>
        <w:t>烟团排放量(mg)，</w:t>
      </w:r>
      <w:r>
        <w:rPr>
          <w:rFonts w:hint="default" w:ascii="Times New Roman" w:hAnsi="Times New Roman" w:eastAsia="宋体" w:cs="Times New Roman"/>
        </w:rPr>
        <w:object>
          <v:shape id="_x0000_i1035" o:spt="75" type="#_x0000_t75" style="height:15.65pt;width:62pt;" o:ole="t" filled="f" o:preferrelative="t" stroked="f" coordsize="21600,21600">
            <v:path/>
            <v:fill on="f" focussize="0,0"/>
            <v:stroke on="f"/>
            <v:imagedata r:id="rId53" o:title=""/>
            <o:lock v:ext="edit" aspectratio="t"/>
            <w10:wrap type="none"/>
            <w10:anchorlock/>
          </v:shape>
          <o:OLEObject Type="Embed" ProgID="Equation.3" ShapeID="_x0000_i1035" DrawAspect="Content" ObjectID="_1468075735" r:id="rId52">
            <o:LockedField>false</o:LockedField>
          </o:OLEObject>
        </w:object>
      </w:r>
      <w:r>
        <w:rPr>
          <w:rFonts w:hint="default" w:ascii="Times New Roman" w:hAnsi="Times New Roman" w:eastAsia="宋体" w:cs="Times New Roman"/>
        </w:rPr>
        <w:t>为释放率(mg.s</w:t>
      </w:r>
      <w:r>
        <w:rPr>
          <w:rFonts w:hint="default" w:ascii="Times New Roman" w:hAnsi="Times New Roman" w:eastAsia="宋体" w:cs="Times New Roman"/>
          <w:vertAlign w:val="superscript"/>
        </w:rPr>
        <w:t>-1</w:t>
      </w:r>
      <w:r>
        <w:rPr>
          <w:rFonts w:hint="default" w:ascii="Times New Roman" w:hAnsi="Times New Roman" w:eastAsia="宋体" w:cs="Times New Roman"/>
        </w:rPr>
        <w:t>)，</w:t>
      </w:r>
      <w:r>
        <w:rPr>
          <w:rFonts w:hint="default" w:ascii="Times New Roman" w:hAnsi="Times New Roman" w:eastAsia="宋体" w:cs="Times New Roman"/>
        </w:rPr>
        <w:object>
          <v:shape id="_x0000_i1036" o:spt="75" type="#_x0000_t75" style="height:13.75pt;width:15.05pt;" o:ole="t" filled="f" o:preferrelative="t" stroked="f" coordsize="21600,21600">
            <v:path/>
            <v:fill on="f" focussize="0,0"/>
            <v:stroke on="f"/>
            <v:imagedata r:id="rId55" o:title=""/>
            <o:lock v:ext="edit" aspectratio="t"/>
            <w10:wrap type="none"/>
            <w10:anchorlock/>
          </v:shape>
          <o:OLEObject Type="Embed" ProgID="Equation.3" ShapeID="_x0000_i1036" DrawAspect="Content" ObjectID="_1468075736" r:id="rId54">
            <o:LockedField>false</o:LockedField>
          </o:OLEObject>
        </w:object>
      </w:r>
      <w:r>
        <w:rPr>
          <w:rFonts w:hint="default" w:ascii="Times New Roman" w:hAnsi="Times New Roman" w:eastAsia="宋体" w:cs="Times New Roman"/>
        </w:rPr>
        <w:t>为时段长度(s)；</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object>
          <v:shape id="_x0000_i1037" o:spt="75" type="#_x0000_t75" style="height:18.8pt;width:28.8pt;" o:ole="t" filled="f" o:preferrelative="t" stroked="f" coordsize="21600,21600">
            <v:path/>
            <v:fill on="f" focussize="0,0"/>
            <v:stroke on="f"/>
            <v:imagedata r:id="rId57" o:title=""/>
            <o:lock v:ext="edit" aspectratio="t"/>
            <w10:wrap type="none"/>
            <w10:anchorlock/>
          </v:shape>
          <o:OLEObject Type="Embed" ProgID="Equation.3" ShapeID="_x0000_i1037" DrawAspect="Content" ObjectID="_1468075737" r:id="rId56">
            <o:LockedField>false</o:LockedField>
          </o:OLEObject>
        </w:object>
      </w:r>
      <w:r>
        <w:rPr>
          <w:rFonts w:hint="default" w:ascii="Times New Roman" w:hAnsi="Times New Roman" w:eastAsia="宋体" w:cs="Times New Roman"/>
        </w:rPr>
        <w:t>、</w:t>
      </w:r>
      <w:r>
        <w:rPr>
          <w:rFonts w:hint="default" w:ascii="Times New Roman" w:hAnsi="Times New Roman" w:eastAsia="宋体" w:cs="Times New Roman"/>
        </w:rPr>
        <w:object>
          <v:shape id="_x0000_i1038" o:spt="75" type="#_x0000_t75" style="height:18.8pt;width:28.8pt;" o:ole="t" filled="f" o:preferrelative="t" stroked="f" coordsize="21600,21600">
            <v:path/>
            <v:fill on="f" focussize="0,0"/>
            <v:stroke on="f"/>
            <v:imagedata r:id="rId59" o:title=""/>
            <o:lock v:ext="edit" aspectratio="t"/>
            <w10:wrap type="none"/>
            <w10:anchorlock/>
          </v:shape>
          <o:OLEObject Type="Embed" ProgID="Equation.3" ShapeID="_x0000_i1038" DrawAspect="Content" ObjectID="_1468075738" r:id="rId58">
            <o:LockedField>false</o:LockedField>
          </o:OLEObject>
        </w:object>
      </w:r>
      <w:r>
        <w:rPr>
          <w:rFonts w:hint="default" w:ascii="Times New Roman" w:hAnsi="Times New Roman" w:eastAsia="宋体" w:cs="Times New Roman"/>
        </w:rPr>
        <w:t>、</w:t>
      </w:r>
      <w:r>
        <w:rPr>
          <w:rFonts w:hint="default" w:ascii="Times New Roman" w:hAnsi="Times New Roman" w:eastAsia="宋体" w:cs="Times New Roman"/>
        </w:rPr>
        <w:object>
          <v:shape id="_x0000_i1039" o:spt="75" type="#_x0000_t75" style="height:18.8pt;width:24.4pt;" o:ole="t" filled="f" o:preferrelative="t" stroked="f" coordsize="21600,21600">
            <v:path/>
            <v:fill on="f" focussize="0,0"/>
            <v:stroke on="f"/>
            <v:imagedata r:id="rId61" o:title=""/>
            <o:lock v:ext="edit" aspectratio="t"/>
            <w10:wrap type="none"/>
            <w10:anchorlock/>
          </v:shape>
          <o:OLEObject Type="Embed" ProgID="Equation.3" ShapeID="_x0000_i1039" DrawAspect="Content" ObjectID="_1468075739" r:id="rId60">
            <o:LockedField>false</o:LockedField>
          </o:OLEObject>
        </w:object>
      </w:r>
      <w:r>
        <w:rPr>
          <w:rFonts w:hint="eastAsia" w:cs="Times New Roman"/>
          <w:lang w:val="en-US" w:eastAsia="zh-CN"/>
        </w:rPr>
        <w:t>-</w:t>
      </w:r>
      <w:r>
        <w:rPr>
          <w:rFonts w:hint="default" w:ascii="Times New Roman" w:hAnsi="Times New Roman" w:eastAsia="宋体" w:cs="Times New Roman"/>
        </w:rPr>
        <w:t>烟团在w时段沿x、y和z方向的等效扩散参数(m)，可由下式估算：</w:t>
      </w:r>
    </w:p>
    <w:p>
      <w:pPr>
        <w:pStyle w:val="1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object>
          <v:shape id="_x0000_i1040" o:spt="75" type="#_x0000_t75" style="height:33.8pt;width:164pt;" o:ole="t" filled="f" o:preferrelative="t" stroked="f" coordsize="21600,21600">
            <v:path/>
            <v:fill on="f" focussize="0,0"/>
            <v:stroke on="f"/>
            <v:imagedata r:id="rId63" o:title=""/>
            <o:lock v:ext="edit" aspectratio="t"/>
            <w10:wrap type="none"/>
            <w10:anchorlock/>
          </v:shape>
          <o:OLEObject Type="Embed" ProgID="Equation.3" ShapeID="_x0000_i1040" DrawAspect="Content" ObjectID="_1468075740" r:id="rId62">
            <o:LockedField>false</o:LockedField>
          </o:OLEObject>
        </w:object>
      </w:r>
    </w:p>
    <w:p>
      <w:pPr>
        <w:pStyle w:val="19"/>
        <w:rPr>
          <w:rFonts w:hint="default" w:ascii="Times New Roman" w:hAnsi="Times New Roman" w:eastAsia="宋体" w:cs="Times New Roman"/>
        </w:rPr>
      </w:pPr>
      <w:r>
        <w:rPr>
          <w:rFonts w:hint="default" w:ascii="Times New Roman" w:hAnsi="Times New Roman" w:eastAsia="宋体" w:cs="Times New Roman"/>
        </w:rPr>
        <w:t>式中：</w:t>
      </w:r>
      <w:r>
        <w:rPr>
          <w:rFonts w:hint="default" w:ascii="Times New Roman" w:hAnsi="Times New Roman" w:eastAsia="宋体" w:cs="Times New Roman"/>
        </w:rPr>
        <w:object>
          <v:shape id="_x0000_i1041" o:spt="75" type="#_x0000_t75" style="height:21.3pt;width:256pt;" o:ole="t" filled="f" o:preferrelative="t" stroked="f" coordsize="21600,21600">
            <v:path/>
            <v:fill on="f" focussize="0,0"/>
            <v:stroke on="f"/>
            <v:imagedata r:id="rId65" o:title=""/>
            <o:lock v:ext="edit" aspectratio="t"/>
            <w10:wrap type="none"/>
            <w10:anchorlock/>
          </v:shape>
          <o:OLEObject Type="Embed" ProgID="Equation.DSMT4" ShapeID="_x0000_i1041" DrawAspect="Content" ObjectID="_1468075741" r:id="rId64">
            <o:LockedField>false</o:LockedField>
          </o:OLEObject>
        </w:object>
      </w:r>
    </w:p>
    <w:p>
      <w:pPr>
        <w:pStyle w:val="19"/>
        <w:rPr>
          <w:rFonts w:hint="default" w:ascii="Times New Roman" w:hAnsi="Times New Roman" w:eastAsia="宋体" w:cs="Times New Roman"/>
        </w:rPr>
      </w:pPr>
      <w:r>
        <w:rPr>
          <w:rFonts w:hint="default" w:ascii="Times New Roman" w:hAnsi="Times New Roman" w:eastAsia="宋体" w:cs="Times New Roman"/>
        </w:rPr>
        <w:object>
          <v:shape id="_x0000_i1042" o:spt="75" type="#_x0000_t75" style="height:18.8pt;width:15.05pt;" o:ole="t" filled="f" o:preferrelative="t" stroked="f" coordsize="21600,21600">
            <v:path/>
            <v:fill on="f" focussize="0,0"/>
            <v:stroke on="f"/>
            <v:imagedata r:id="rId67" o:title=""/>
            <o:lock v:ext="edit" aspectratio="t"/>
            <w10:wrap type="none"/>
            <w10:anchorlock/>
          </v:shape>
          <o:OLEObject Type="Embed" ProgID="Equation.3" ShapeID="_x0000_i1042" DrawAspect="Content" ObjectID="_1468075742" r:id="rId66">
            <o:LockedField>false</o:LockedField>
          </o:OLEObject>
        </w:object>
      </w:r>
      <w:r>
        <w:rPr>
          <w:rFonts w:hint="default" w:ascii="Times New Roman" w:hAnsi="Times New Roman" w:eastAsia="宋体" w:cs="Times New Roman"/>
        </w:rPr>
        <w:t>和</w:t>
      </w:r>
      <w:r>
        <w:rPr>
          <w:rFonts w:hint="default" w:ascii="Times New Roman" w:hAnsi="Times New Roman" w:eastAsia="宋体" w:cs="Times New Roman"/>
        </w:rPr>
        <w:object>
          <v:shape id="_x0000_i1043" o:spt="75" type="#_x0000_t75" style="height:18.8pt;width:15.65pt;" o:ole="t" filled="f" o:preferrelative="t" stroked="f" coordsize="21600,21600">
            <v:path/>
            <v:fill on="f" focussize="0,0"/>
            <v:stroke on="f"/>
            <v:imagedata r:id="rId69" o:title=""/>
            <o:lock v:ext="edit" aspectratio="t"/>
            <w10:wrap type="none"/>
            <w10:anchorlock/>
          </v:shape>
          <o:OLEObject Type="Embed" ProgID="Equation.3" ShapeID="_x0000_i1043" DrawAspect="Content" ObjectID="_1468075743" r:id="rId68">
            <o:LockedField>false</o:LockedField>
          </o:OLEObject>
        </w:object>
      </w:r>
      <w:r>
        <w:rPr>
          <w:rFonts w:hint="default" w:ascii="Times New Roman" w:hAnsi="Times New Roman" w:eastAsia="宋体" w:cs="Times New Roman"/>
        </w:rPr>
        <w:t>--第w时段结束时第i烟团质心的x和y坐标，由下述两式计算：</w:t>
      </w:r>
    </w:p>
    <w:p>
      <w:pPr>
        <w:pStyle w:val="1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object>
          <v:shape id="_x0000_i1044" o:spt="75" type="#_x0000_t75" style="height:33.8pt;width:176.45pt;" o:ole="t" filled="f" o:preferrelative="t" stroked="f" coordsize="21600,21600">
            <v:path/>
            <v:fill on="f" focussize="0,0"/>
            <v:stroke on="f"/>
            <v:imagedata r:id="rId71" o:title=""/>
            <o:lock v:ext="edit" aspectratio="t"/>
            <w10:wrap type="none"/>
            <w10:anchorlock/>
          </v:shape>
          <o:OLEObject Type="Embed" ProgID="Equation.3" ShapeID="_x0000_i1044" DrawAspect="Content" ObjectID="_1468075744" r:id="rId70">
            <o:LockedField>false</o:LockedField>
          </o:OLEObject>
        </w:object>
      </w:r>
    </w:p>
    <w:p>
      <w:pPr>
        <w:pStyle w:val="1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object>
          <v:shape id="_x0000_i1045" o:spt="75" type="#_x0000_t75" style="height:33.8pt;width:177.8pt;" o:ole="t" filled="f" o:preferrelative="t" stroked="f" coordsize="21600,21600">
            <v:path/>
            <v:fill on="f" focussize="0,0"/>
            <v:stroke on="f"/>
            <v:imagedata r:id="rId73" o:title=""/>
            <o:lock v:ext="edit" aspectratio="t"/>
            <w10:wrap type="none"/>
            <w10:anchorlock/>
          </v:shape>
          <o:OLEObject Type="Embed" ProgID="Equation.3" ShapeID="_x0000_i1045" DrawAspect="Content" ObjectID="_1468075745" r:id="rId72">
            <o:LockedField>false</o:LockedField>
          </o:OLEObject>
        </w:object>
      </w:r>
    </w:p>
    <w:p>
      <w:pPr>
        <w:pStyle w:val="19"/>
        <w:rPr>
          <w:rFonts w:hint="default" w:ascii="Times New Roman" w:hAnsi="Times New Roman" w:eastAsia="宋体" w:cs="Times New Roman"/>
        </w:rPr>
      </w:pPr>
      <w:r>
        <w:rPr>
          <w:rFonts w:hint="default" w:ascii="Times New Roman" w:hAnsi="Times New Roman" w:eastAsia="宋体" w:cs="Times New Roman"/>
        </w:rPr>
        <w:t>各个烟团对某个关心点t小时的浓度贡献，按下式计算：</w:t>
      </w:r>
    </w:p>
    <w:p>
      <w:pPr>
        <w:pStyle w:val="1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object>
          <v:shape id="_x0000_i1046" o:spt="75" type="#_x0000_t75" style="height:33.8pt;width:138.4pt;" o:ole="t" filled="f" o:preferrelative="t" stroked="f" coordsize="21600,21600">
            <v:path/>
            <v:fill on="f" focussize="0,0"/>
            <v:stroke on="f"/>
            <v:imagedata r:id="rId75" o:title=""/>
            <o:lock v:ext="edit" aspectratio="t"/>
            <w10:wrap type="none"/>
            <w10:anchorlock/>
          </v:shape>
          <o:OLEObject Type="Embed" ProgID="Equation.DSMT4" ShapeID="_x0000_i1046" DrawAspect="Content" ObjectID="_1468075746" r:id="rId74">
            <o:LockedField>false</o:LockedField>
          </o:OLEObject>
        </w:object>
      </w:r>
    </w:p>
    <w:p>
      <w:pPr>
        <w:pStyle w:val="19"/>
        <w:rPr>
          <w:rFonts w:hint="default" w:ascii="Times New Roman" w:hAnsi="Times New Roman" w:eastAsia="宋体" w:cs="Times New Roman"/>
        </w:rPr>
      </w:pPr>
      <w:r>
        <w:rPr>
          <w:rFonts w:hint="default" w:ascii="Times New Roman" w:hAnsi="Times New Roman" w:eastAsia="宋体" w:cs="Times New Roman"/>
        </w:rPr>
        <w:t>式中：n为需要跟踪的烟团数，可由下式确定：</w:t>
      </w:r>
    </w:p>
    <w:p>
      <w:pPr>
        <w:pStyle w:val="1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object>
          <v:shape id="_x0000_i1047" o:spt="75" type="#_x0000_t75" style="height:33.8pt;width:157.8pt;" o:ole="t" filled="f" o:preferrelative="t" stroked="f" coordsize="21600,21600">
            <v:path/>
            <v:fill on="f" focussize="0,0"/>
            <v:stroke on="f"/>
            <v:imagedata r:id="rId77" o:title=""/>
            <o:lock v:ext="edit" aspectratio="t"/>
            <w10:wrap type="none"/>
            <w10:anchorlock/>
          </v:shape>
          <o:OLEObject Type="Embed" ProgID="Equation.DSMT4" ShapeID="_x0000_i1047" DrawAspect="Content" ObjectID="_1468075747" r:id="rId76">
            <o:LockedField>false</o:LockedField>
          </o:OLEObject>
        </w:objec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式中：</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f为小于1的系数，可根据计算要求确定。</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上述预测模型，计算储罐火灾伴随风险物质风险事故下的预测结果，预测时，选取常年主导风向下静风(0.5m/s)、平均风速(2.3m/s)状态，泄漏时间为30min，分析大气稳定度A、D、F条件下火灾及爆炸后造成的下风向轴线不同距离处的污染物最大落地浓度影响。</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4"/>
          <w:szCs w:val="24"/>
        </w:rPr>
      </w:pPr>
      <w:r>
        <w:rPr>
          <w:rFonts w:hint="eastAsia"/>
          <w:b/>
          <w:bCs/>
          <w:sz w:val="24"/>
          <w:szCs w:val="24"/>
        </w:rPr>
        <w:t>表4</w:t>
      </w:r>
      <w:r>
        <w:rPr>
          <w:rFonts w:hint="eastAsia"/>
          <w:b/>
          <w:bCs/>
          <w:sz w:val="24"/>
          <w:szCs w:val="24"/>
          <w:lang w:val="en-US" w:eastAsia="zh-CN"/>
        </w:rPr>
        <w:t>.3</w:t>
      </w:r>
      <w:r>
        <w:rPr>
          <w:rFonts w:hint="eastAsia"/>
          <w:b/>
          <w:bCs/>
          <w:sz w:val="24"/>
          <w:szCs w:val="24"/>
        </w:rPr>
        <w:t>-</w:t>
      </w:r>
      <w:r>
        <w:rPr>
          <w:rFonts w:hint="eastAsia"/>
          <w:b/>
          <w:bCs/>
          <w:sz w:val="24"/>
          <w:szCs w:val="24"/>
          <w:lang w:val="en-US" w:eastAsia="zh-CN"/>
        </w:rPr>
        <w:t>2</w:t>
      </w:r>
      <w:r>
        <w:rPr>
          <w:rFonts w:hint="eastAsia"/>
          <w:b/>
          <w:bCs/>
          <w:sz w:val="24"/>
          <w:szCs w:val="24"/>
        </w:rPr>
        <w:t xml:space="preserve">  汽油罐火灾及爆炸伴随风险物质事故发生后受影响程度及范围</w:t>
      </w:r>
    </w:p>
    <w:tbl>
      <w:tblPr>
        <w:tblStyle w:val="1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162"/>
        <w:gridCol w:w="2773"/>
        <w:gridCol w:w="1475"/>
        <w:gridCol w:w="1475"/>
        <w:gridCol w:w="14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695" w:type="pct"/>
            <w:tcBorders>
              <w:top w:val="single" w:color="auto" w:sz="12"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名称</w:t>
            </w:r>
          </w:p>
        </w:tc>
        <w:tc>
          <w:tcPr>
            <w:tcW w:w="1658" w:type="pct"/>
            <w:tcBorders>
              <w:top w:val="single" w:color="auto" w:sz="12"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项目</w:t>
            </w:r>
          </w:p>
        </w:tc>
        <w:tc>
          <w:tcPr>
            <w:tcW w:w="882" w:type="pct"/>
            <w:tcBorders>
              <w:top w:val="single" w:color="auto" w:sz="12"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A</w:t>
            </w:r>
          </w:p>
        </w:tc>
        <w:tc>
          <w:tcPr>
            <w:tcW w:w="882" w:type="pct"/>
            <w:tcBorders>
              <w:top w:val="single" w:color="auto" w:sz="12"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D</w:t>
            </w:r>
          </w:p>
        </w:tc>
        <w:tc>
          <w:tcPr>
            <w:tcW w:w="883" w:type="pct"/>
            <w:tcBorders>
              <w:top w:val="single" w:color="auto" w:sz="12"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F</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695"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p>
        </w:tc>
        <w:tc>
          <w:tcPr>
            <w:tcW w:w="4305" w:type="pct"/>
            <w:gridSpan w:val="4"/>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静风条件下(0.5m/s)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1" w:hRule="atLeast"/>
          <w:jc w:val="center"/>
        </w:trPr>
        <w:tc>
          <w:tcPr>
            <w:tcW w:w="695" w:type="pct"/>
            <w:vMerge w:val="restar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CO</w:t>
            </w:r>
          </w:p>
        </w:tc>
        <w:tc>
          <w:tcPr>
            <w:tcW w:w="1658"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最大落地浓度(mg/m</w:t>
            </w:r>
            <w:r>
              <w:rPr>
                <w:rFonts w:hint="default" w:ascii="Times New Roman" w:hAnsi="Times New Roman" w:eastAsia="宋体" w:cs="Times New Roman"/>
                <w:vertAlign w:val="superscript"/>
              </w:rPr>
              <w:t>3</w:t>
            </w:r>
            <w:r>
              <w:rPr>
                <w:rFonts w:hint="default" w:ascii="Times New Roman" w:hAnsi="Times New Roman" w:eastAsia="宋体" w:cs="Times New Roman"/>
              </w:rPr>
              <w:t>)</w:t>
            </w:r>
          </w:p>
        </w:tc>
        <w:tc>
          <w:tcPr>
            <w:tcW w:w="882"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267.8075</w:t>
            </w:r>
          </w:p>
        </w:tc>
        <w:tc>
          <w:tcPr>
            <w:tcW w:w="882"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198.3788</w:t>
            </w:r>
          </w:p>
        </w:tc>
        <w:tc>
          <w:tcPr>
            <w:tcW w:w="883"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96.2794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695" w:type="pct"/>
            <w:vMerge w:val="continue"/>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p>
        </w:tc>
        <w:tc>
          <w:tcPr>
            <w:tcW w:w="1658"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最大落地浓度出现距离(m)</w:t>
            </w:r>
          </w:p>
        </w:tc>
        <w:tc>
          <w:tcPr>
            <w:tcW w:w="882"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5.5</w:t>
            </w:r>
          </w:p>
        </w:tc>
        <w:tc>
          <w:tcPr>
            <w:tcW w:w="882"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39.4</w:t>
            </w:r>
          </w:p>
        </w:tc>
        <w:tc>
          <w:tcPr>
            <w:tcW w:w="883"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100.4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695" w:type="pct"/>
            <w:vMerge w:val="continue"/>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p>
        </w:tc>
        <w:tc>
          <w:tcPr>
            <w:tcW w:w="1658"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半致死浓度范围(m)</w:t>
            </w:r>
          </w:p>
        </w:tc>
        <w:tc>
          <w:tcPr>
            <w:tcW w:w="882"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w:t>
            </w:r>
          </w:p>
        </w:tc>
        <w:tc>
          <w:tcPr>
            <w:tcW w:w="882"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w:t>
            </w:r>
          </w:p>
        </w:tc>
        <w:tc>
          <w:tcPr>
            <w:tcW w:w="883"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695" w:type="pct"/>
            <w:vMerge w:val="continue"/>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p>
        </w:tc>
        <w:tc>
          <w:tcPr>
            <w:tcW w:w="1658"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短时间接触容许浓度范围(m)</w:t>
            </w:r>
          </w:p>
        </w:tc>
        <w:tc>
          <w:tcPr>
            <w:tcW w:w="882"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39.3</w:t>
            </w:r>
          </w:p>
        </w:tc>
        <w:tc>
          <w:tcPr>
            <w:tcW w:w="882"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209.0</w:t>
            </w:r>
          </w:p>
        </w:tc>
        <w:tc>
          <w:tcPr>
            <w:tcW w:w="883"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328.7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695" w:type="pct"/>
            <w:vMerge w:val="continue"/>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p>
        </w:tc>
        <w:tc>
          <w:tcPr>
            <w:tcW w:w="1658"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IDLH（m）</w:t>
            </w:r>
          </w:p>
        </w:tc>
        <w:tc>
          <w:tcPr>
            <w:tcW w:w="882"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w:t>
            </w:r>
          </w:p>
        </w:tc>
        <w:tc>
          <w:tcPr>
            <w:tcW w:w="882"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w:t>
            </w:r>
          </w:p>
        </w:tc>
        <w:tc>
          <w:tcPr>
            <w:tcW w:w="883"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695" w:type="pct"/>
            <w:vMerge w:val="restar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SO</w:t>
            </w:r>
            <w:r>
              <w:rPr>
                <w:rFonts w:hint="default" w:ascii="Times New Roman" w:hAnsi="Times New Roman" w:eastAsia="宋体" w:cs="Times New Roman"/>
                <w:vertAlign w:val="subscript"/>
              </w:rPr>
              <w:t>2</w:t>
            </w:r>
          </w:p>
        </w:tc>
        <w:tc>
          <w:tcPr>
            <w:tcW w:w="1658"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最大落地浓度(mg/m</w:t>
            </w:r>
            <w:r>
              <w:rPr>
                <w:rFonts w:hint="default" w:ascii="Times New Roman" w:hAnsi="Times New Roman" w:eastAsia="宋体" w:cs="Times New Roman"/>
                <w:vertAlign w:val="superscript"/>
              </w:rPr>
              <w:t>3</w:t>
            </w:r>
            <w:r>
              <w:rPr>
                <w:rFonts w:hint="default" w:ascii="Times New Roman" w:hAnsi="Times New Roman" w:eastAsia="宋体" w:cs="Times New Roman"/>
              </w:rPr>
              <w:t>)</w:t>
            </w:r>
          </w:p>
        </w:tc>
        <w:tc>
          <w:tcPr>
            <w:tcW w:w="882"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718.5080</w:t>
            </w:r>
          </w:p>
        </w:tc>
        <w:tc>
          <w:tcPr>
            <w:tcW w:w="882"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532.2358</w:t>
            </w:r>
          </w:p>
        </w:tc>
        <w:tc>
          <w:tcPr>
            <w:tcW w:w="883"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258.3106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695" w:type="pct"/>
            <w:vMerge w:val="continue"/>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p>
        </w:tc>
        <w:tc>
          <w:tcPr>
            <w:tcW w:w="1658"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最大落地距离(m)</w:t>
            </w:r>
          </w:p>
        </w:tc>
        <w:tc>
          <w:tcPr>
            <w:tcW w:w="882"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5.5</w:t>
            </w:r>
          </w:p>
        </w:tc>
        <w:tc>
          <w:tcPr>
            <w:tcW w:w="882"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39.4</w:t>
            </w:r>
          </w:p>
        </w:tc>
        <w:tc>
          <w:tcPr>
            <w:tcW w:w="883"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100.4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695" w:type="pct"/>
            <w:vMerge w:val="continue"/>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p>
        </w:tc>
        <w:tc>
          <w:tcPr>
            <w:tcW w:w="1658"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半致死浓度范围(m)</w:t>
            </w:r>
          </w:p>
        </w:tc>
        <w:tc>
          <w:tcPr>
            <w:tcW w:w="882"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w:t>
            </w:r>
          </w:p>
        </w:tc>
        <w:tc>
          <w:tcPr>
            <w:tcW w:w="882"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w:t>
            </w:r>
          </w:p>
        </w:tc>
        <w:tc>
          <w:tcPr>
            <w:tcW w:w="883"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695" w:type="pct"/>
            <w:vMerge w:val="continue"/>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p>
        </w:tc>
        <w:tc>
          <w:tcPr>
            <w:tcW w:w="1658"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短时间接触容许浓度范围(m)</w:t>
            </w:r>
          </w:p>
        </w:tc>
        <w:tc>
          <w:tcPr>
            <w:tcW w:w="882"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93.7</w:t>
            </w:r>
          </w:p>
        </w:tc>
        <w:tc>
          <w:tcPr>
            <w:tcW w:w="882"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474.0</w:t>
            </w:r>
          </w:p>
        </w:tc>
        <w:tc>
          <w:tcPr>
            <w:tcW w:w="883"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692.9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695" w:type="pct"/>
            <w:vMerge w:val="continue"/>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p>
        </w:tc>
        <w:tc>
          <w:tcPr>
            <w:tcW w:w="1658"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IDLH（m）</w:t>
            </w:r>
          </w:p>
        </w:tc>
        <w:tc>
          <w:tcPr>
            <w:tcW w:w="882"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21.3</w:t>
            </w:r>
          </w:p>
        </w:tc>
        <w:tc>
          <w:tcPr>
            <w:tcW w:w="882"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100.8</w:t>
            </w:r>
          </w:p>
        </w:tc>
        <w:tc>
          <w:tcPr>
            <w:tcW w:w="883"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695"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p>
        </w:tc>
        <w:tc>
          <w:tcPr>
            <w:tcW w:w="4305" w:type="pct"/>
            <w:gridSpan w:val="4"/>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平均风速条件下(2.3m/s)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695" w:type="pct"/>
            <w:vMerge w:val="restar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CO</w:t>
            </w:r>
          </w:p>
        </w:tc>
        <w:tc>
          <w:tcPr>
            <w:tcW w:w="1658"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最大落地浓度(mg/m</w:t>
            </w:r>
            <w:r>
              <w:rPr>
                <w:rFonts w:hint="default" w:ascii="Times New Roman" w:hAnsi="Times New Roman" w:eastAsia="宋体" w:cs="Times New Roman"/>
                <w:vertAlign w:val="superscript"/>
              </w:rPr>
              <w:t>3</w:t>
            </w:r>
            <w:r>
              <w:rPr>
                <w:rFonts w:hint="default" w:ascii="Times New Roman" w:hAnsi="Times New Roman" w:eastAsia="宋体" w:cs="Times New Roman"/>
              </w:rPr>
              <w:t>)</w:t>
            </w:r>
          </w:p>
        </w:tc>
        <w:tc>
          <w:tcPr>
            <w:tcW w:w="882"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104.4450</w:t>
            </w:r>
          </w:p>
        </w:tc>
        <w:tc>
          <w:tcPr>
            <w:tcW w:w="882"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340.1369</w:t>
            </w:r>
          </w:p>
        </w:tc>
        <w:tc>
          <w:tcPr>
            <w:tcW w:w="883"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538.6205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695" w:type="pct"/>
            <w:vMerge w:val="continue"/>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p>
        </w:tc>
        <w:tc>
          <w:tcPr>
            <w:tcW w:w="1658"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最大落地浓度出现距离(m)</w:t>
            </w:r>
          </w:p>
        </w:tc>
        <w:tc>
          <w:tcPr>
            <w:tcW w:w="882"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21.4</w:t>
            </w:r>
          </w:p>
        </w:tc>
        <w:tc>
          <w:tcPr>
            <w:tcW w:w="882"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24.4</w:t>
            </w:r>
          </w:p>
        </w:tc>
        <w:tc>
          <w:tcPr>
            <w:tcW w:w="883"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26.0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695" w:type="pct"/>
            <w:vMerge w:val="continue"/>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p>
        </w:tc>
        <w:tc>
          <w:tcPr>
            <w:tcW w:w="1658"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半致死浓度范围(m)</w:t>
            </w:r>
          </w:p>
        </w:tc>
        <w:tc>
          <w:tcPr>
            <w:tcW w:w="882"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w:t>
            </w:r>
          </w:p>
        </w:tc>
        <w:tc>
          <w:tcPr>
            <w:tcW w:w="882"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w:t>
            </w:r>
          </w:p>
        </w:tc>
        <w:tc>
          <w:tcPr>
            <w:tcW w:w="883"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695" w:type="pct"/>
            <w:vMerge w:val="continue"/>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p>
        </w:tc>
        <w:tc>
          <w:tcPr>
            <w:tcW w:w="1658"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短时间接触容许浓度范围(m)</w:t>
            </w:r>
          </w:p>
        </w:tc>
        <w:tc>
          <w:tcPr>
            <w:tcW w:w="882"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145.1</w:t>
            </w:r>
          </w:p>
        </w:tc>
        <w:tc>
          <w:tcPr>
            <w:tcW w:w="882"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408.1</w:t>
            </w:r>
          </w:p>
        </w:tc>
        <w:tc>
          <w:tcPr>
            <w:tcW w:w="883"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744.3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695" w:type="pct"/>
            <w:vMerge w:val="continue"/>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p>
        </w:tc>
        <w:tc>
          <w:tcPr>
            <w:tcW w:w="1658"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IDLH(m)</w:t>
            </w:r>
          </w:p>
        </w:tc>
        <w:tc>
          <w:tcPr>
            <w:tcW w:w="882"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w:t>
            </w:r>
          </w:p>
        </w:tc>
        <w:tc>
          <w:tcPr>
            <w:tcW w:w="882"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w:t>
            </w:r>
          </w:p>
        </w:tc>
        <w:tc>
          <w:tcPr>
            <w:tcW w:w="883"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695" w:type="pct"/>
            <w:vMerge w:val="restar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SO</w:t>
            </w:r>
            <w:r>
              <w:rPr>
                <w:rFonts w:hint="default" w:ascii="Times New Roman" w:hAnsi="Times New Roman" w:eastAsia="宋体" w:cs="Times New Roman"/>
                <w:vertAlign w:val="subscript"/>
              </w:rPr>
              <w:t>2</w:t>
            </w:r>
          </w:p>
        </w:tc>
        <w:tc>
          <w:tcPr>
            <w:tcW w:w="1658"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最大落地浓度(mg/m</w:t>
            </w:r>
            <w:r>
              <w:rPr>
                <w:rFonts w:hint="default" w:ascii="Times New Roman" w:hAnsi="Times New Roman" w:eastAsia="宋体" w:cs="Times New Roman"/>
                <w:vertAlign w:val="superscript"/>
              </w:rPr>
              <w:t>3</w:t>
            </w:r>
            <w:r>
              <w:rPr>
                <w:rFonts w:hint="default" w:ascii="Times New Roman" w:hAnsi="Times New Roman" w:eastAsia="宋体" w:cs="Times New Roman"/>
              </w:rPr>
              <w:t>)</w:t>
            </w:r>
          </w:p>
        </w:tc>
        <w:tc>
          <w:tcPr>
            <w:tcW w:w="882"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280.2054</w:t>
            </w:r>
          </w:p>
        </w:tc>
        <w:tc>
          <w:tcPr>
            <w:tcW w:w="882"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912.5001</w:t>
            </w:r>
          </w:p>
        </w:tc>
        <w:tc>
          <w:tcPr>
            <w:tcW w:w="883"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1444.9665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695" w:type="pct"/>
            <w:vMerge w:val="continue"/>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p>
        </w:tc>
        <w:tc>
          <w:tcPr>
            <w:tcW w:w="1658"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最大落地距离(m)</w:t>
            </w:r>
          </w:p>
        </w:tc>
        <w:tc>
          <w:tcPr>
            <w:tcW w:w="882"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21.4</w:t>
            </w:r>
          </w:p>
        </w:tc>
        <w:tc>
          <w:tcPr>
            <w:tcW w:w="882"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24.4</w:t>
            </w:r>
          </w:p>
        </w:tc>
        <w:tc>
          <w:tcPr>
            <w:tcW w:w="883"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26.0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695" w:type="pct"/>
            <w:vMerge w:val="continue"/>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p>
        </w:tc>
        <w:tc>
          <w:tcPr>
            <w:tcW w:w="1658"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半致死浓度范围(m)</w:t>
            </w:r>
          </w:p>
        </w:tc>
        <w:tc>
          <w:tcPr>
            <w:tcW w:w="882"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w:t>
            </w:r>
          </w:p>
        </w:tc>
        <w:tc>
          <w:tcPr>
            <w:tcW w:w="882"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w:t>
            </w:r>
          </w:p>
        </w:tc>
        <w:tc>
          <w:tcPr>
            <w:tcW w:w="883"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695" w:type="pct"/>
            <w:vMerge w:val="continue"/>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p>
        </w:tc>
        <w:tc>
          <w:tcPr>
            <w:tcW w:w="1658"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短时间接触容许浓度范围(m)</w:t>
            </w:r>
          </w:p>
        </w:tc>
        <w:tc>
          <w:tcPr>
            <w:tcW w:w="882"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391.3</w:t>
            </w:r>
          </w:p>
        </w:tc>
        <w:tc>
          <w:tcPr>
            <w:tcW w:w="882"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1365.2</w:t>
            </w:r>
          </w:p>
        </w:tc>
        <w:tc>
          <w:tcPr>
            <w:tcW w:w="883" w:type="pct"/>
            <w:tcBorders>
              <w:top w:val="single" w:color="auto" w:sz="6" w:space="0"/>
              <w:bottom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2904.3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695" w:type="pct"/>
            <w:vMerge w:val="continue"/>
            <w:tcBorders>
              <w:top w:val="single" w:color="auto" w:sz="6" w:space="0"/>
            </w:tcBorders>
            <w:noWrap w:val="0"/>
            <w:vAlign w:val="center"/>
          </w:tcPr>
          <w:p>
            <w:pPr>
              <w:pStyle w:val="26"/>
              <w:rPr>
                <w:rFonts w:hint="default" w:ascii="Times New Roman" w:hAnsi="Times New Roman" w:eastAsia="宋体" w:cs="Times New Roman"/>
              </w:rPr>
            </w:pPr>
          </w:p>
        </w:tc>
        <w:tc>
          <w:tcPr>
            <w:tcW w:w="1658" w:type="pct"/>
            <w:tcBorders>
              <w:top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IDLH（m）</w:t>
            </w:r>
          </w:p>
        </w:tc>
        <w:tc>
          <w:tcPr>
            <w:tcW w:w="882" w:type="pct"/>
            <w:tcBorders>
              <w:top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24.0</w:t>
            </w:r>
          </w:p>
        </w:tc>
        <w:tc>
          <w:tcPr>
            <w:tcW w:w="882" w:type="pct"/>
            <w:tcBorders>
              <w:top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81.6</w:t>
            </w:r>
          </w:p>
        </w:tc>
        <w:tc>
          <w:tcPr>
            <w:tcW w:w="883" w:type="pct"/>
            <w:tcBorders>
              <w:top w:val="single" w:color="auto" w:sz="6" w:space="0"/>
            </w:tcBorders>
            <w:noWrap w:val="0"/>
            <w:vAlign w:val="center"/>
          </w:tcPr>
          <w:p>
            <w:pPr>
              <w:pStyle w:val="26"/>
              <w:rPr>
                <w:rFonts w:hint="default" w:ascii="Times New Roman" w:hAnsi="Times New Roman" w:eastAsia="宋体" w:cs="Times New Roman"/>
              </w:rPr>
            </w:pPr>
            <w:r>
              <w:rPr>
                <w:rFonts w:hint="default" w:ascii="Times New Roman" w:hAnsi="Times New Roman" w:eastAsia="宋体" w:cs="Times New Roman"/>
              </w:rPr>
              <w:t>135.9</w:t>
            </w:r>
          </w:p>
        </w:tc>
      </w:tr>
    </w:tbl>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w:t>
      </w:r>
      <w:r>
        <w:rPr>
          <w:rFonts w:hint="eastAsia" w:ascii="Times New Roman" w:hAnsi="Times New Roman" w:eastAsia="宋体" w:cs="Times New Roman"/>
          <w:lang w:val="en-US" w:eastAsia="zh-CN"/>
        </w:rPr>
        <w:t>上</w:t>
      </w:r>
      <w:r>
        <w:rPr>
          <w:rFonts w:hint="default" w:ascii="Times New Roman" w:hAnsi="Times New Roman" w:eastAsia="宋体" w:cs="Times New Roman"/>
          <w:lang w:val="en-US" w:eastAsia="zh-CN"/>
        </w:rPr>
        <w:t>表可知，静风条件下(0.5m/s)汽油罐火灾及爆炸伴随物质中的CO未出现半致死浓度范围和IDLH，SO</w:t>
      </w:r>
      <w:r>
        <w:rPr>
          <w:rFonts w:hint="default" w:ascii="Times New Roman" w:hAnsi="Times New Roman" w:eastAsia="宋体" w:cs="Times New Roman"/>
          <w:vertAlign w:val="subscript"/>
          <w:lang w:val="en-US" w:eastAsia="zh-CN"/>
        </w:rPr>
        <w:t>2</w:t>
      </w:r>
      <w:r>
        <w:rPr>
          <w:rFonts w:hint="default" w:ascii="Times New Roman" w:hAnsi="Times New Roman" w:eastAsia="宋体" w:cs="Times New Roman"/>
          <w:lang w:val="en-US" w:eastAsia="zh-CN"/>
        </w:rPr>
        <w:t>在A和D稳定度下出现IDLH，D稳定度下达到100.8m；在平均风速条件下(2.3m/s)CO未出现半致死浓度范围和IDLH，SO</w:t>
      </w:r>
      <w:r>
        <w:rPr>
          <w:rFonts w:hint="default" w:ascii="Times New Roman" w:hAnsi="Times New Roman" w:eastAsia="宋体" w:cs="Times New Roman"/>
          <w:vertAlign w:val="subscript"/>
          <w:lang w:val="en-US" w:eastAsia="zh-CN"/>
        </w:rPr>
        <w:t>2</w:t>
      </w:r>
      <w:r>
        <w:rPr>
          <w:rFonts w:hint="default" w:ascii="Times New Roman" w:hAnsi="Times New Roman" w:eastAsia="宋体" w:cs="Times New Roman"/>
          <w:lang w:val="en-US" w:eastAsia="zh-CN"/>
        </w:rPr>
        <w:t>在各个大气条件下均出现IDLH，F稳定度下达到135.9m。结合九江油库周边敏感点分布情况，一旦发生油罐爆炸应立即通知周边企业单位并进行疏散。</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4"/>
          <w:szCs w:val="24"/>
        </w:rPr>
      </w:pPr>
      <w:r>
        <w:rPr>
          <w:rFonts w:hint="eastAsia"/>
          <w:b/>
          <w:bCs/>
          <w:sz w:val="24"/>
          <w:szCs w:val="24"/>
        </w:rPr>
        <w:t>表4</w:t>
      </w:r>
      <w:r>
        <w:rPr>
          <w:rFonts w:hint="eastAsia"/>
          <w:b/>
          <w:bCs/>
          <w:sz w:val="24"/>
          <w:szCs w:val="24"/>
          <w:lang w:val="en-US" w:eastAsia="zh-CN"/>
        </w:rPr>
        <w:t>.3</w:t>
      </w:r>
      <w:r>
        <w:rPr>
          <w:rFonts w:hint="eastAsia"/>
          <w:b/>
          <w:bCs/>
          <w:sz w:val="24"/>
          <w:szCs w:val="24"/>
        </w:rPr>
        <w:t>-</w:t>
      </w:r>
      <w:r>
        <w:rPr>
          <w:rFonts w:hint="eastAsia"/>
          <w:b/>
          <w:bCs/>
          <w:sz w:val="24"/>
          <w:szCs w:val="24"/>
          <w:lang w:val="en-US" w:eastAsia="zh-CN"/>
        </w:rPr>
        <w:t>3</w:t>
      </w:r>
      <w:r>
        <w:rPr>
          <w:rFonts w:hint="eastAsia"/>
          <w:b/>
          <w:bCs/>
          <w:sz w:val="24"/>
          <w:szCs w:val="24"/>
        </w:rPr>
        <w:t xml:space="preserve">  柴油罐火灾及爆炸伴随风险物质事故发生后受影响程度及范围</w:t>
      </w:r>
    </w:p>
    <w:tbl>
      <w:tblPr>
        <w:tblStyle w:val="1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23"/>
        <w:gridCol w:w="3111"/>
        <w:gridCol w:w="1474"/>
        <w:gridCol w:w="1474"/>
        <w:gridCol w:w="14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92" w:type="pct"/>
            <w:tcBorders>
              <w:top w:val="single" w:color="auto" w:sz="12"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1860" w:type="pct"/>
            <w:tcBorders>
              <w:top w:val="single" w:color="auto" w:sz="12"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881" w:type="pct"/>
            <w:tcBorders>
              <w:top w:val="single" w:color="auto" w:sz="12"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w:t>
            </w:r>
          </w:p>
        </w:tc>
        <w:tc>
          <w:tcPr>
            <w:tcW w:w="881" w:type="pct"/>
            <w:tcBorders>
              <w:top w:val="single" w:color="auto" w:sz="12"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w:t>
            </w:r>
          </w:p>
        </w:tc>
        <w:tc>
          <w:tcPr>
            <w:tcW w:w="883" w:type="pct"/>
            <w:tcBorders>
              <w:top w:val="single" w:color="auto" w:sz="12"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92"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p>
        </w:tc>
        <w:tc>
          <w:tcPr>
            <w:tcW w:w="4507" w:type="pct"/>
            <w:gridSpan w:val="4"/>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静风条件下(0.5m/s)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92" w:type="pct"/>
            <w:vMerge w:val="restar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w:t>
            </w:r>
          </w:p>
        </w:tc>
        <w:tc>
          <w:tcPr>
            <w:tcW w:w="1860"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最大落地浓度(mg/m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81"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374.8647</w:t>
            </w:r>
          </w:p>
        </w:tc>
        <w:tc>
          <w:tcPr>
            <w:tcW w:w="881"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211.7457</w:t>
            </w:r>
          </w:p>
        </w:tc>
        <w:tc>
          <w:tcPr>
            <w:tcW w:w="883"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101.0739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92" w:type="pct"/>
            <w:vMerge w:val="continue"/>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p>
        </w:tc>
        <w:tc>
          <w:tcPr>
            <w:tcW w:w="1860"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最大落地浓度出现距离(m)</w:t>
            </w:r>
          </w:p>
        </w:tc>
        <w:tc>
          <w:tcPr>
            <w:tcW w:w="881"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5.6</w:t>
            </w:r>
          </w:p>
        </w:tc>
        <w:tc>
          <w:tcPr>
            <w:tcW w:w="881"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w:t>
            </w:r>
          </w:p>
        </w:tc>
        <w:tc>
          <w:tcPr>
            <w:tcW w:w="883"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92" w:type="pct"/>
            <w:vMerge w:val="continue"/>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p>
        </w:tc>
        <w:tc>
          <w:tcPr>
            <w:tcW w:w="1860"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半致死浓度范围(m)</w:t>
            </w:r>
          </w:p>
        </w:tc>
        <w:tc>
          <w:tcPr>
            <w:tcW w:w="881"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81"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83"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92" w:type="pct"/>
            <w:vMerge w:val="continue"/>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p>
        </w:tc>
        <w:tc>
          <w:tcPr>
            <w:tcW w:w="1860"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短时间接触容许浓度范围(m)</w:t>
            </w:r>
          </w:p>
        </w:tc>
        <w:tc>
          <w:tcPr>
            <w:tcW w:w="881"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51.1</w:t>
            </w:r>
          </w:p>
        </w:tc>
        <w:tc>
          <w:tcPr>
            <w:tcW w:w="881"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270.3</w:t>
            </w:r>
          </w:p>
        </w:tc>
        <w:tc>
          <w:tcPr>
            <w:tcW w:w="883"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424.7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92" w:type="pct"/>
            <w:vMerge w:val="continue"/>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p>
        </w:tc>
        <w:tc>
          <w:tcPr>
            <w:tcW w:w="1860"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IDLH（m）</w:t>
            </w:r>
          </w:p>
        </w:tc>
        <w:tc>
          <w:tcPr>
            <w:tcW w:w="881"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81"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83"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92" w:type="pct"/>
            <w:vMerge w:val="restar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SO</w:t>
            </w:r>
            <w:r>
              <w:rPr>
                <w:rFonts w:hint="default" w:ascii="Times New Roman" w:hAnsi="Times New Roman" w:eastAsia="宋体" w:cs="Times New Roman"/>
                <w:sz w:val="21"/>
                <w:szCs w:val="21"/>
                <w:vertAlign w:val="subscript"/>
              </w:rPr>
              <w:t>2</w:t>
            </w:r>
          </w:p>
        </w:tc>
        <w:tc>
          <w:tcPr>
            <w:tcW w:w="1860"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最大落地浓度(mg/m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81"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2400.2534</w:t>
            </w:r>
          </w:p>
        </w:tc>
        <w:tc>
          <w:tcPr>
            <w:tcW w:w="881"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1355.8044</w:t>
            </w:r>
          </w:p>
        </w:tc>
        <w:tc>
          <w:tcPr>
            <w:tcW w:w="883"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647.1749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92" w:type="pct"/>
            <w:vMerge w:val="continue"/>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p>
        </w:tc>
        <w:tc>
          <w:tcPr>
            <w:tcW w:w="1860"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最大落地距离(m)</w:t>
            </w:r>
          </w:p>
        </w:tc>
        <w:tc>
          <w:tcPr>
            <w:tcW w:w="881"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5.6</w:t>
            </w:r>
          </w:p>
        </w:tc>
        <w:tc>
          <w:tcPr>
            <w:tcW w:w="881"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w:t>
            </w:r>
          </w:p>
        </w:tc>
        <w:tc>
          <w:tcPr>
            <w:tcW w:w="883"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92" w:type="pct"/>
            <w:vMerge w:val="continue"/>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p>
        </w:tc>
        <w:tc>
          <w:tcPr>
            <w:tcW w:w="1860"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半致死浓度范围(m)</w:t>
            </w:r>
          </w:p>
        </w:tc>
        <w:tc>
          <w:tcPr>
            <w:tcW w:w="881"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81"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83"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92" w:type="pct"/>
            <w:vMerge w:val="continue"/>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p>
        </w:tc>
        <w:tc>
          <w:tcPr>
            <w:tcW w:w="1860"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短时间接触容许浓度范围(m)</w:t>
            </w:r>
          </w:p>
        </w:tc>
        <w:tc>
          <w:tcPr>
            <w:tcW w:w="881"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185.8</w:t>
            </w:r>
          </w:p>
        </w:tc>
        <w:tc>
          <w:tcPr>
            <w:tcW w:w="881"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789.0</w:t>
            </w:r>
          </w:p>
        </w:tc>
        <w:tc>
          <w:tcPr>
            <w:tcW w:w="883"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92" w:type="pct"/>
            <w:vMerge w:val="continue"/>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p>
        </w:tc>
        <w:tc>
          <w:tcPr>
            <w:tcW w:w="1860"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IDLH（m）</w:t>
            </w:r>
          </w:p>
        </w:tc>
        <w:tc>
          <w:tcPr>
            <w:tcW w:w="881"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42.4</w:t>
            </w:r>
          </w:p>
        </w:tc>
        <w:tc>
          <w:tcPr>
            <w:tcW w:w="881"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225.2</w:t>
            </w:r>
          </w:p>
        </w:tc>
        <w:tc>
          <w:tcPr>
            <w:tcW w:w="883"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349.7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92"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p>
        </w:tc>
        <w:tc>
          <w:tcPr>
            <w:tcW w:w="4507" w:type="pct"/>
            <w:gridSpan w:val="4"/>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平均风速条件下(2.3m/s)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92" w:type="pct"/>
            <w:vMerge w:val="restar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w:t>
            </w:r>
          </w:p>
        </w:tc>
        <w:tc>
          <w:tcPr>
            <w:tcW w:w="1860"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最大落地浓度(mg/m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81"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103.3581</w:t>
            </w:r>
          </w:p>
        </w:tc>
        <w:tc>
          <w:tcPr>
            <w:tcW w:w="881"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306.9148</w:t>
            </w:r>
          </w:p>
        </w:tc>
        <w:tc>
          <w:tcPr>
            <w:tcW w:w="883"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467.2904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92" w:type="pct"/>
            <w:vMerge w:val="continue"/>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p>
        </w:tc>
        <w:tc>
          <w:tcPr>
            <w:tcW w:w="1860"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最大落地浓度出现距离(m)</w:t>
            </w:r>
          </w:p>
        </w:tc>
        <w:tc>
          <w:tcPr>
            <w:tcW w:w="881"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22.0</w:t>
            </w:r>
          </w:p>
        </w:tc>
        <w:tc>
          <w:tcPr>
            <w:tcW w:w="881"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25.2</w:t>
            </w:r>
          </w:p>
        </w:tc>
        <w:tc>
          <w:tcPr>
            <w:tcW w:w="883"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92" w:type="pct"/>
            <w:vMerge w:val="continue"/>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p>
        </w:tc>
        <w:tc>
          <w:tcPr>
            <w:tcW w:w="1860"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半致死浓度范围(m)</w:t>
            </w:r>
          </w:p>
        </w:tc>
        <w:tc>
          <w:tcPr>
            <w:tcW w:w="881"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81"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83"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92" w:type="pct"/>
            <w:vMerge w:val="continue"/>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p>
        </w:tc>
        <w:tc>
          <w:tcPr>
            <w:tcW w:w="1860"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短时间接触容许浓度范围(m)</w:t>
            </w:r>
          </w:p>
        </w:tc>
        <w:tc>
          <w:tcPr>
            <w:tcW w:w="881"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184.1</w:t>
            </w:r>
          </w:p>
        </w:tc>
        <w:tc>
          <w:tcPr>
            <w:tcW w:w="881"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523.0</w:t>
            </w:r>
          </w:p>
        </w:tc>
        <w:tc>
          <w:tcPr>
            <w:tcW w:w="883"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941.0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92" w:type="pct"/>
            <w:vMerge w:val="continue"/>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p>
        </w:tc>
        <w:tc>
          <w:tcPr>
            <w:tcW w:w="1860"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IDLH(m)</w:t>
            </w:r>
          </w:p>
        </w:tc>
        <w:tc>
          <w:tcPr>
            <w:tcW w:w="881"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81"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83"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92" w:type="pct"/>
            <w:vMerge w:val="restar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SO</w:t>
            </w:r>
            <w:r>
              <w:rPr>
                <w:rFonts w:hint="default" w:ascii="Times New Roman" w:hAnsi="Times New Roman" w:eastAsia="宋体" w:cs="Times New Roman"/>
                <w:sz w:val="21"/>
                <w:szCs w:val="21"/>
                <w:vertAlign w:val="subscript"/>
              </w:rPr>
              <w:t>2</w:t>
            </w:r>
          </w:p>
        </w:tc>
        <w:tc>
          <w:tcPr>
            <w:tcW w:w="1860"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最大落地浓度(mg/m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81"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661.8002</w:t>
            </w:r>
          </w:p>
        </w:tc>
        <w:tc>
          <w:tcPr>
            <w:tcW w:w="881"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1965.1706</w:t>
            </w:r>
          </w:p>
        </w:tc>
        <w:tc>
          <w:tcPr>
            <w:tcW w:w="883"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2992.0535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92" w:type="pct"/>
            <w:vMerge w:val="continue"/>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p>
        </w:tc>
        <w:tc>
          <w:tcPr>
            <w:tcW w:w="1860"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最大落地距离(m)</w:t>
            </w:r>
          </w:p>
        </w:tc>
        <w:tc>
          <w:tcPr>
            <w:tcW w:w="881"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22.0</w:t>
            </w:r>
          </w:p>
        </w:tc>
        <w:tc>
          <w:tcPr>
            <w:tcW w:w="881"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25.2</w:t>
            </w:r>
          </w:p>
        </w:tc>
        <w:tc>
          <w:tcPr>
            <w:tcW w:w="883"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92" w:type="pct"/>
            <w:vMerge w:val="continue"/>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p>
        </w:tc>
        <w:tc>
          <w:tcPr>
            <w:tcW w:w="1860"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半致死浓度范围(m)</w:t>
            </w:r>
          </w:p>
        </w:tc>
        <w:tc>
          <w:tcPr>
            <w:tcW w:w="881"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81"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83"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92" w:type="pct"/>
            <w:vMerge w:val="continue"/>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p>
        </w:tc>
        <w:tc>
          <w:tcPr>
            <w:tcW w:w="1860"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短时间接触容许浓度范围(m)</w:t>
            </w:r>
          </w:p>
        </w:tc>
        <w:tc>
          <w:tcPr>
            <w:tcW w:w="881"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658.2</w:t>
            </w:r>
          </w:p>
        </w:tc>
        <w:tc>
          <w:tcPr>
            <w:tcW w:w="881"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2818.8</w:t>
            </w:r>
          </w:p>
        </w:tc>
        <w:tc>
          <w:tcPr>
            <w:tcW w:w="883" w:type="pct"/>
            <w:tcBorders>
              <w:top w:val="single" w:color="auto" w:sz="4" w:space="0"/>
              <w:bottom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3392.4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92" w:type="pct"/>
            <w:vMerge w:val="continue"/>
            <w:tcBorders>
              <w:top w:val="single" w:color="auto" w:sz="4" w:space="0"/>
            </w:tcBorders>
            <w:noWrap w:val="0"/>
            <w:vAlign w:val="center"/>
          </w:tcPr>
          <w:p>
            <w:pPr>
              <w:pStyle w:val="26"/>
              <w:rPr>
                <w:rFonts w:hint="default" w:ascii="Times New Roman" w:hAnsi="Times New Roman" w:eastAsia="宋体" w:cs="Times New Roman"/>
                <w:sz w:val="21"/>
                <w:szCs w:val="21"/>
              </w:rPr>
            </w:pPr>
          </w:p>
        </w:tc>
        <w:tc>
          <w:tcPr>
            <w:tcW w:w="1860" w:type="pct"/>
            <w:tcBorders>
              <w:top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IDLH（m）</w:t>
            </w:r>
          </w:p>
        </w:tc>
        <w:tc>
          <w:tcPr>
            <w:tcW w:w="881" w:type="pct"/>
            <w:tcBorders>
              <w:top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140.2</w:t>
            </w:r>
          </w:p>
        </w:tc>
        <w:tc>
          <w:tcPr>
            <w:tcW w:w="881" w:type="pct"/>
            <w:tcBorders>
              <w:top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382.8</w:t>
            </w:r>
          </w:p>
        </w:tc>
        <w:tc>
          <w:tcPr>
            <w:tcW w:w="883" w:type="pct"/>
            <w:tcBorders>
              <w:top w:val="single" w:color="auto" w:sz="4" w:space="0"/>
            </w:tcBorders>
            <w:noWrap w:val="0"/>
            <w:vAlign w:val="center"/>
          </w:tcPr>
          <w:p>
            <w:pPr>
              <w:pStyle w:val="2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667.7</w:t>
            </w:r>
          </w:p>
        </w:tc>
      </w:tr>
    </w:tbl>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w:t>
      </w:r>
      <w:r>
        <w:rPr>
          <w:rFonts w:hint="eastAsia" w:ascii="Times New Roman" w:hAnsi="Times New Roman" w:eastAsia="宋体" w:cs="Times New Roman"/>
          <w:lang w:val="en-US" w:eastAsia="zh-CN"/>
        </w:rPr>
        <w:t>上</w:t>
      </w:r>
      <w:r>
        <w:rPr>
          <w:rFonts w:hint="default" w:ascii="Times New Roman" w:hAnsi="Times New Roman" w:eastAsia="宋体" w:cs="Times New Roman"/>
          <w:lang w:val="en-US" w:eastAsia="zh-CN"/>
        </w:rPr>
        <w:t>表可知，静风条件下(0.5m/s)汽油罐火灾及爆炸伴随物质中的CO未出现半致死浓度范围和IDLH，SO2在各个大气条件下均出现IDLH，F稳定度下达到349.7m；在平均风速条件下(2.3m/s) CO未出现半致死浓度范围和IDLH，SO</w:t>
      </w:r>
      <w:r>
        <w:rPr>
          <w:rFonts w:hint="default" w:ascii="Times New Roman" w:hAnsi="Times New Roman" w:eastAsia="宋体" w:cs="Times New Roman"/>
          <w:vertAlign w:val="subscript"/>
          <w:lang w:val="en-US" w:eastAsia="zh-CN"/>
        </w:rPr>
        <w:t>2</w:t>
      </w:r>
      <w:r>
        <w:rPr>
          <w:rFonts w:hint="default" w:ascii="Times New Roman" w:hAnsi="Times New Roman" w:eastAsia="宋体" w:cs="Times New Roman"/>
          <w:lang w:val="en-US" w:eastAsia="zh-CN"/>
        </w:rPr>
        <w:t>在各个大气条件下均出现IDLH，F稳定度下达到667.7m。结合九江油库周边敏感点分布情况，在此范围内的敏感点主要为九江市技工学校和大王庙村居民区，一旦发生油罐火灾爆炸，对学校及居民区人群将会产生影响，需立即进行疏散。</w:t>
      </w:r>
    </w:p>
    <w:p>
      <w:pPr>
        <w:pStyle w:val="22"/>
        <w:keepNext w:val="0"/>
        <w:keepLines w:val="0"/>
        <w:pageBreakBefore w:val="0"/>
        <w:widowControl w:val="0"/>
        <w:kinsoku/>
        <w:wordWrap/>
        <w:overflowPunct/>
        <w:topLinePunct w:val="0"/>
        <w:autoSpaceDE/>
        <w:autoSpaceDN/>
        <w:bidi w:val="0"/>
        <w:adjustRightInd/>
        <w:snapToGrid/>
        <w:spacing w:before="0" w:beforeLines="0" w:after="0" w:afterLines="0"/>
        <w:textAlignment w:val="auto"/>
        <w:outlineLvl w:val="1"/>
        <w:rPr>
          <w:rFonts w:hint="eastAsia" w:ascii="Times New Roman" w:hAnsi="Times New Roman" w:eastAsia="宋体" w:cs="Times New Roman"/>
          <w:lang w:eastAsia="zh-CN"/>
        </w:rPr>
      </w:pPr>
      <w:bookmarkStart w:id="75" w:name="_Toc30857"/>
      <w:r>
        <w:rPr>
          <w:rFonts w:hint="eastAsia" w:eastAsia="宋体" w:cs="Times New Roman"/>
          <w:lang w:val="en-US" w:eastAsia="zh-CN"/>
        </w:rPr>
        <w:t>4.</w:t>
      </w:r>
      <w:r>
        <w:rPr>
          <w:rFonts w:hint="eastAsia" w:ascii="Times New Roman" w:hAnsi="Times New Roman" w:eastAsia="宋体" w:cs="Times New Roman"/>
          <w:lang w:val="en-US" w:eastAsia="zh-CN"/>
        </w:rPr>
        <w:t>3.3泄漏事故后果预测</w:t>
      </w:r>
      <w:bookmarkEnd w:id="75"/>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采用多烟团模式（同3.3.2火灾及爆炸伴生环境危害后果计算中预测模式），选取常年主导风向下静风（0.5m/s）、平均风速（2.3m/s）状态，分析大气稳定度A、D、F条件下物料泄漏造成的下风向轴线不同距离处的污染物最大落地浓度影响。</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柴油为高沸点成份，故使用时由于蒸汽所致的毒性机会较小，且目前暂无LC50等指标，同时结合表</w:t>
      </w:r>
      <w:r>
        <w:rPr>
          <w:rFonts w:hint="eastAsia" w:ascii="Times New Roman" w:hAnsi="Times New Roman" w:eastAsia="宋体" w:cs="Times New Roman"/>
          <w:lang w:val="en-US" w:eastAsia="zh-CN"/>
        </w:rPr>
        <w:t>4</w:t>
      </w:r>
      <w:r>
        <w:rPr>
          <w:rFonts w:hint="default" w:ascii="Times New Roman" w:hAnsi="Times New Roman" w:eastAsia="宋体" w:cs="Times New Roman"/>
          <w:lang w:val="en-US" w:eastAsia="zh-CN"/>
        </w:rPr>
        <w:t>.2-4可知，柴油蒸发速率远低于汽油。因此，本次风险评估主要考虑汽油挥发产生的不利影响。</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4"/>
          <w:szCs w:val="24"/>
        </w:rPr>
      </w:pPr>
      <w:r>
        <w:rPr>
          <w:rFonts w:hint="eastAsia"/>
          <w:b/>
          <w:bCs/>
          <w:sz w:val="24"/>
          <w:szCs w:val="24"/>
        </w:rPr>
        <w:t>表4</w:t>
      </w:r>
      <w:r>
        <w:rPr>
          <w:rFonts w:hint="eastAsia"/>
          <w:b/>
          <w:bCs/>
          <w:sz w:val="24"/>
          <w:szCs w:val="24"/>
          <w:lang w:val="en-US" w:eastAsia="zh-CN"/>
        </w:rPr>
        <w:t>.3</w:t>
      </w:r>
      <w:r>
        <w:rPr>
          <w:rFonts w:hint="eastAsia"/>
          <w:b/>
          <w:bCs/>
          <w:sz w:val="24"/>
          <w:szCs w:val="24"/>
        </w:rPr>
        <w:t>-</w:t>
      </w:r>
      <w:r>
        <w:rPr>
          <w:rFonts w:hint="eastAsia"/>
          <w:b/>
          <w:bCs/>
          <w:sz w:val="24"/>
          <w:szCs w:val="24"/>
          <w:lang w:val="en-US" w:eastAsia="zh-CN"/>
        </w:rPr>
        <w:t>4</w:t>
      </w:r>
      <w:r>
        <w:rPr>
          <w:rFonts w:hint="eastAsia"/>
          <w:b/>
          <w:bCs/>
          <w:sz w:val="24"/>
          <w:szCs w:val="24"/>
        </w:rPr>
        <w:t xml:space="preserve">  汽油储罐泄漏事故发生后受影响程度及范围</w:t>
      </w:r>
    </w:p>
    <w:tbl>
      <w:tblPr>
        <w:tblStyle w:val="15"/>
        <w:tblW w:w="496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162"/>
        <w:gridCol w:w="2772"/>
        <w:gridCol w:w="1474"/>
        <w:gridCol w:w="1474"/>
        <w:gridCol w:w="14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699" w:type="pct"/>
            <w:tcBorders>
              <w:top w:val="single" w:color="auto" w:sz="12" w:space="0"/>
              <w:bottom w:val="single" w:color="auto" w:sz="4" w:space="0"/>
            </w:tcBorders>
            <w:noWrap w:val="0"/>
            <w:vAlign w:val="center"/>
          </w:tcPr>
          <w:p>
            <w:pPr>
              <w:pStyle w:val="26"/>
              <w:jc w:val="center"/>
              <w:rPr>
                <w:rFonts w:hint="default" w:ascii="Times New Roman" w:hAnsi="Times New Roman" w:eastAsia="宋体" w:cs="Times New Roman"/>
              </w:rPr>
            </w:pPr>
            <w:r>
              <w:rPr>
                <w:rFonts w:hint="default" w:ascii="Times New Roman" w:hAnsi="Times New Roman" w:eastAsia="宋体" w:cs="Times New Roman"/>
              </w:rPr>
              <w:t>泄漏物料</w:t>
            </w:r>
          </w:p>
        </w:tc>
        <w:tc>
          <w:tcPr>
            <w:tcW w:w="1668" w:type="pct"/>
            <w:tcBorders>
              <w:top w:val="single" w:color="auto" w:sz="12" w:space="0"/>
              <w:bottom w:val="single" w:color="auto" w:sz="4" w:space="0"/>
            </w:tcBorders>
            <w:noWrap w:val="0"/>
            <w:vAlign w:val="center"/>
          </w:tcPr>
          <w:p>
            <w:pPr>
              <w:pStyle w:val="26"/>
              <w:jc w:val="center"/>
              <w:rPr>
                <w:rFonts w:hint="default" w:ascii="Times New Roman" w:hAnsi="Times New Roman" w:eastAsia="宋体" w:cs="Times New Roman"/>
              </w:rPr>
            </w:pPr>
            <w:r>
              <w:rPr>
                <w:rFonts w:hint="default" w:ascii="Times New Roman" w:hAnsi="Times New Roman" w:eastAsia="宋体" w:cs="Times New Roman"/>
              </w:rPr>
              <w:t>项目</w:t>
            </w:r>
          </w:p>
        </w:tc>
        <w:tc>
          <w:tcPr>
            <w:tcW w:w="887" w:type="pct"/>
            <w:tcBorders>
              <w:top w:val="single" w:color="auto" w:sz="12" w:space="0"/>
              <w:bottom w:val="single" w:color="auto" w:sz="4" w:space="0"/>
            </w:tcBorders>
            <w:noWrap w:val="0"/>
            <w:vAlign w:val="center"/>
          </w:tcPr>
          <w:p>
            <w:pPr>
              <w:pStyle w:val="26"/>
              <w:jc w:val="center"/>
              <w:rPr>
                <w:rFonts w:hint="default" w:ascii="Times New Roman" w:hAnsi="Times New Roman" w:eastAsia="宋体" w:cs="Times New Roman"/>
              </w:rPr>
            </w:pPr>
            <w:r>
              <w:rPr>
                <w:rFonts w:hint="default" w:ascii="Times New Roman" w:hAnsi="Times New Roman" w:eastAsia="宋体" w:cs="Times New Roman"/>
              </w:rPr>
              <w:t>A</w:t>
            </w:r>
          </w:p>
        </w:tc>
        <w:tc>
          <w:tcPr>
            <w:tcW w:w="887" w:type="pct"/>
            <w:tcBorders>
              <w:top w:val="single" w:color="auto" w:sz="12" w:space="0"/>
              <w:bottom w:val="single" w:color="auto" w:sz="4" w:space="0"/>
            </w:tcBorders>
            <w:noWrap w:val="0"/>
            <w:vAlign w:val="center"/>
          </w:tcPr>
          <w:p>
            <w:pPr>
              <w:pStyle w:val="26"/>
              <w:jc w:val="center"/>
              <w:rPr>
                <w:rFonts w:hint="default" w:ascii="Times New Roman" w:hAnsi="Times New Roman" w:eastAsia="宋体" w:cs="Times New Roman"/>
              </w:rPr>
            </w:pPr>
            <w:r>
              <w:rPr>
                <w:rFonts w:hint="default" w:ascii="Times New Roman" w:hAnsi="Times New Roman" w:eastAsia="宋体" w:cs="Times New Roman"/>
              </w:rPr>
              <w:t>D</w:t>
            </w:r>
          </w:p>
        </w:tc>
        <w:tc>
          <w:tcPr>
            <w:tcW w:w="857" w:type="pct"/>
            <w:tcBorders>
              <w:top w:val="single" w:color="auto" w:sz="12" w:space="0"/>
              <w:bottom w:val="single" w:color="auto" w:sz="4" w:space="0"/>
            </w:tcBorders>
            <w:noWrap w:val="0"/>
            <w:vAlign w:val="center"/>
          </w:tcPr>
          <w:p>
            <w:pPr>
              <w:pStyle w:val="26"/>
              <w:jc w:val="center"/>
              <w:rPr>
                <w:rFonts w:hint="default" w:ascii="Times New Roman" w:hAnsi="Times New Roman" w:eastAsia="宋体" w:cs="Times New Roman"/>
              </w:rPr>
            </w:pPr>
            <w:r>
              <w:rPr>
                <w:rFonts w:hint="default" w:ascii="Times New Roman" w:hAnsi="Times New Roman" w:eastAsia="宋体" w:cs="Times New Roman"/>
              </w:rPr>
              <w:t>F</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699" w:type="pct"/>
            <w:tcBorders>
              <w:top w:val="single" w:color="auto" w:sz="4" w:space="0"/>
              <w:bottom w:val="single" w:color="auto" w:sz="4" w:space="0"/>
            </w:tcBorders>
            <w:noWrap w:val="0"/>
            <w:vAlign w:val="center"/>
          </w:tcPr>
          <w:p>
            <w:pPr>
              <w:pStyle w:val="26"/>
              <w:jc w:val="center"/>
              <w:rPr>
                <w:rFonts w:hint="default" w:ascii="Times New Roman" w:hAnsi="Times New Roman" w:eastAsia="宋体" w:cs="Times New Roman"/>
              </w:rPr>
            </w:pPr>
          </w:p>
        </w:tc>
        <w:tc>
          <w:tcPr>
            <w:tcW w:w="4300" w:type="pct"/>
            <w:gridSpan w:val="4"/>
            <w:tcBorders>
              <w:top w:val="single" w:color="auto" w:sz="4" w:space="0"/>
              <w:bottom w:val="single" w:color="auto" w:sz="4" w:space="0"/>
            </w:tcBorders>
            <w:noWrap w:val="0"/>
            <w:vAlign w:val="center"/>
          </w:tcPr>
          <w:p>
            <w:pPr>
              <w:pStyle w:val="26"/>
              <w:jc w:val="center"/>
              <w:rPr>
                <w:rFonts w:hint="default" w:ascii="Times New Roman" w:hAnsi="Times New Roman" w:eastAsia="宋体" w:cs="Times New Roman"/>
              </w:rPr>
            </w:pPr>
            <w:r>
              <w:rPr>
                <w:rFonts w:hint="default" w:ascii="Times New Roman" w:hAnsi="Times New Roman" w:eastAsia="宋体" w:cs="Times New Roman"/>
              </w:rPr>
              <w:t>平均风速条件下(2.3m/s)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699" w:type="pct"/>
            <w:vMerge w:val="restart"/>
            <w:tcBorders>
              <w:top w:val="single" w:color="auto" w:sz="4" w:space="0"/>
              <w:bottom w:val="single" w:color="auto" w:sz="4" w:space="0"/>
            </w:tcBorders>
            <w:noWrap w:val="0"/>
            <w:vAlign w:val="center"/>
          </w:tcPr>
          <w:p>
            <w:pPr>
              <w:pStyle w:val="26"/>
              <w:jc w:val="center"/>
              <w:rPr>
                <w:rFonts w:hint="default" w:ascii="Times New Roman" w:hAnsi="Times New Roman" w:eastAsia="宋体" w:cs="Times New Roman"/>
              </w:rPr>
            </w:pPr>
            <w:r>
              <w:rPr>
                <w:rFonts w:hint="default" w:ascii="Times New Roman" w:hAnsi="Times New Roman" w:eastAsia="宋体" w:cs="Times New Roman"/>
              </w:rPr>
              <w:t>汽油</w:t>
            </w:r>
          </w:p>
        </w:tc>
        <w:tc>
          <w:tcPr>
            <w:tcW w:w="1668" w:type="pct"/>
            <w:tcBorders>
              <w:top w:val="single" w:color="auto" w:sz="4" w:space="0"/>
              <w:bottom w:val="single" w:color="auto" w:sz="4" w:space="0"/>
            </w:tcBorders>
            <w:noWrap w:val="0"/>
            <w:vAlign w:val="center"/>
          </w:tcPr>
          <w:p>
            <w:pPr>
              <w:pStyle w:val="26"/>
              <w:jc w:val="center"/>
              <w:rPr>
                <w:rFonts w:hint="default" w:ascii="Times New Roman" w:hAnsi="Times New Roman" w:eastAsia="宋体" w:cs="Times New Roman"/>
              </w:rPr>
            </w:pPr>
            <w:r>
              <w:rPr>
                <w:rFonts w:hint="default" w:ascii="Times New Roman" w:hAnsi="Times New Roman" w:eastAsia="宋体" w:cs="Times New Roman"/>
              </w:rPr>
              <w:t>最大落地浓度(mg/m</w:t>
            </w:r>
            <w:r>
              <w:rPr>
                <w:rFonts w:hint="default" w:ascii="Times New Roman" w:hAnsi="Times New Roman" w:eastAsia="宋体" w:cs="Times New Roman"/>
                <w:vertAlign w:val="superscript"/>
              </w:rPr>
              <w:t>3</w:t>
            </w:r>
            <w:r>
              <w:rPr>
                <w:rFonts w:hint="default" w:ascii="Times New Roman" w:hAnsi="Times New Roman" w:eastAsia="宋体" w:cs="Times New Roman"/>
              </w:rPr>
              <w:t>)</w:t>
            </w:r>
          </w:p>
        </w:tc>
        <w:tc>
          <w:tcPr>
            <w:tcW w:w="887" w:type="pct"/>
            <w:tcBorders>
              <w:top w:val="single" w:color="auto" w:sz="4" w:space="0"/>
              <w:bottom w:val="single" w:color="auto" w:sz="4" w:space="0"/>
            </w:tcBorders>
            <w:noWrap w:val="0"/>
            <w:vAlign w:val="center"/>
          </w:tcPr>
          <w:p>
            <w:pPr>
              <w:pStyle w:val="26"/>
              <w:jc w:val="center"/>
              <w:rPr>
                <w:rFonts w:hint="default" w:ascii="Times New Roman" w:hAnsi="Times New Roman" w:eastAsia="宋体" w:cs="Times New Roman"/>
              </w:rPr>
            </w:pPr>
            <w:r>
              <w:rPr>
                <w:rFonts w:hint="default" w:ascii="Times New Roman" w:hAnsi="Times New Roman" w:eastAsia="宋体" w:cs="Times New Roman"/>
              </w:rPr>
              <w:t>110924.1267</w:t>
            </w:r>
          </w:p>
        </w:tc>
        <w:tc>
          <w:tcPr>
            <w:tcW w:w="887" w:type="pct"/>
            <w:tcBorders>
              <w:top w:val="single" w:color="auto" w:sz="4" w:space="0"/>
              <w:bottom w:val="single" w:color="auto" w:sz="4" w:space="0"/>
            </w:tcBorders>
            <w:noWrap w:val="0"/>
            <w:vAlign w:val="center"/>
          </w:tcPr>
          <w:p>
            <w:pPr>
              <w:pStyle w:val="26"/>
              <w:jc w:val="center"/>
              <w:rPr>
                <w:rFonts w:hint="default" w:ascii="Times New Roman" w:hAnsi="Times New Roman" w:eastAsia="宋体" w:cs="Times New Roman"/>
              </w:rPr>
            </w:pPr>
            <w:r>
              <w:rPr>
                <w:rFonts w:hint="default" w:ascii="Times New Roman" w:hAnsi="Times New Roman" w:eastAsia="宋体" w:cs="Times New Roman"/>
              </w:rPr>
              <w:t>481682.2514</w:t>
            </w:r>
          </w:p>
        </w:tc>
        <w:tc>
          <w:tcPr>
            <w:tcW w:w="857" w:type="pct"/>
            <w:tcBorders>
              <w:top w:val="single" w:color="auto" w:sz="4" w:space="0"/>
              <w:bottom w:val="single" w:color="auto" w:sz="4" w:space="0"/>
            </w:tcBorders>
            <w:noWrap w:val="0"/>
            <w:vAlign w:val="center"/>
          </w:tcPr>
          <w:p>
            <w:pPr>
              <w:pStyle w:val="26"/>
              <w:jc w:val="center"/>
              <w:rPr>
                <w:rFonts w:hint="default" w:ascii="Times New Roman" w:hAnsi="Times New Roman" w:eastAsia="宋体" w:cs="Times New Roman"/>
              </w:rPr>
            </w:pPr>
            <w:r>
              <w:rPr>
                <w:rFonts w:hint="default" w:ascii="Times New Roman" w:hAnsi="Times New Roman" w:eastAsia="宋体" w:cs="Times New Roman"/>
              </w:rPr>
              <w:t>1274658.1502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699" w:type="pct"/>
            <w:vMerge w:val="continue"/>
            <w:tcBorders>
              <w:top w:val="single" w:color="auto" w:sz="4" w:space="0"/>
              <w:bottom w:val="single" w:color="auto" w:sz="4" w:space="0"/>
            </w:tcBorders>
            <w:noWrap w:val="0"/>
            <w:vAlign w:val="center"/>
          </w:tcPr>
          <w:p>
            <w:pPr>
              <w:pStyle w:val="26"/>
              <w:jc w:val="center"/>
              <w:rPr>
                <w:rFonts w:hint="default" w:ascii="Times New Roman" w:hAnsi="Times New Roman" w:eastAsia="宋体" w:cs="Times New Roman"/>
              </w:rPr>
            </w:pPr>
          </w:p>
        </w:tc>
        <w:tc>
          <w:tcPr>
            <w:tcW w:w="1668" w:type="pct"/>
            <w:tcBorders>
              <w:top w:val="single" w:color="auto" w:sz="4" w:space="0"/>
              <w:bottom w:val="single" w:color="auto" w:sz="4" w:space="0"/>
            </w:tcBorders>
            <w:noWrap w:val="0"/>
            <w:vAlign w:val="center"/>
          </w:tcPr>
          <w:p>
            <w:pPr>
              <w:pStyle w:val="26"/>
              <w:jc w:val="center"/>
              <w:rPr>
                <w:rFonts w:hint="default" w:ascii="Times New Roman" w:hAnsi="Times New Roman" w:eastAsia="宋体" w:cs="Times New Roman"/>
              </w:rPr>
            </w:pPr>
            <w:r>
              <w:rPr>
                <w:rFonts w:hint="default" w:ascii="Times New Roman" w:hAnsi="Times New Roman" w:eastAsia="宋体" w:cs="Times New Roman"/>
              </w:rPr>
              <w:t>最大落地浓度出现距离(m)</w:t>
            </w:r>
          </w:p>
        </w:tc>
        <w:tc>
          <w:tcPr>
            <w:tcW w:w="887" w:type="pct"/>
            <w:tcBorders>
              <w:top w:val="single" w:color="auto" w:sz="4" w:space="0"/>
              <w:bottom w:val="single" w:color="auto" w:sz="4" w:space="0"/>
            </w:tcBorders>
            <w:noWrap w:val="0"/>
            <w:vAlign w:val="center"/>
          </w:tcPr>
          <w:p>
            <w:pPr>
              <w:pStyle w:val="26"/>
              <w:jc w:val="center"/>
              <w:rPr>
                <w:rFonts w:hint="default" w:ascii="Times New Roman" w:hAnsi="Times New Roman" w:eastAsia="宋体" w:cs="Times New Roman"/>
              </w:rPr>
            </w:pPr>
            <w:r>
              <w:rPr>
                <w:rFonts w:hint="default" w:ascii="Times New Roman" w:hAnsi="Times New Roman" w:eastAsia="宋体" w:cs="Times New Roman"/>
              </w:rPr>
              <w:t>15.9</w:t>
            </w:r>
          </w:p>
        </w:tc>
        <w:tc>
          <w:tcPr>
            <w:tcW w:w="887" w:type="pct"/>
            <w:tcBorders>
              <w:top w:val="single" w:color="auto" w:sz="4" w:space="0"/>
              <w:bottom w:val="single" w:color="auto" w:sz="4" w:space="0"/>
            </w:tcBorders>
            <w:noWrap w:val="0"/>
            <w:vAlign w:val="center"/>
          </w:tcPr>
          <w:p>
            <w:pPr>
              <w:pStyle w:val="26"/>
              <w:jc w:val="center"/>
              <w:rPr>
                <w:rFonts w:hint="default" w:ascii="Times New Roman" w:hAnsi="Times New Roman" w:eastAsia="宋体" w:cs="Times New Roman"/>
              </w:rPr>
            </w:pPr>
            <w:r>
              <w:rPr>
                <w:rFonts w:hint="default" w:ascii="Times New Roman" w:hAnsi="Times New Roman" w:eastAsia="宋体" w:cs="Times New Roman"/>
              </w:rPr>
              <w:t>15.8</w:t>
            </w:r>
          </w:p>
        </w:tc>
        <w:tc>
          <w:tcPr>
            <w:tcW w:w="857" w:type="pct"/>
            <w:tcBorders>
              <w:top w:val="single" w:color="auto" w:sz="4" w:space="0"/>
              <w:bottom w:val="single" w:color="auto" w:sz="4" w:space="0"/>
            </w:tcBorders>
            <w:noWrap w:val="0"/>
            <w:vAlign w:val="center"/>
          </w:tcPr>
          <w:p>
            <w:pPr>
              <w:pStyle w:val="26"/>
              <w:jc w:val="center"/>
              <w:rPr>
                <w:rFonts w:hint="default" w:ascii="Times New Roman" w:hAnsi="Times New Roman" w:eastAsia="宋体" w:cs="Times New Roman"/>
              </w:rPr>
            </w:pPr>
            <w:r>
              <w:rPr>
                <w:rFonts w:hint="default" w:ascii="Times New Roman" w:hAnsi="Times New Roman" w:eastAsia="宋体" w:cs="Times New Roman"/>
              </w:rPr>
              <w:t>12.8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699" w:type="pct"/>
            <w:vMerge w:val="continue"/>
            <w:tcBorders>
              <w:top w:val="single" w:color="auto" w:sz="4" w:space="0"/>
              <w:bottom w:val="single" w:color="auto" w:sz="4" w:space="0"/>
            </w:tcBorders>
            <w:noWrap w:val="0"/>
            <w:vAlign w:val="center"/>
          </w:tcPr>
          <w:p>
            <w:pPr>
              <w:pStyle w:val="26"/>
              <w:jc w:val="center"/>
              <w:rPr>
                <w:rFonts w:hint="default" w:ascii="Times New Roman" w:hAnsi="Times New Roman" w:eastAsia="宋体" w:cs="Times New Roman"/>
              </w:rPr>
            </w:pPr>
          </w:p>
        </w:tc>
        <w:tc>
          <w:tcPr>
            <w:tcW w:w="1668" w:type="pct"/>
            <w:tcBorders>
              <w:top w:val="single" w:color="auto" w:sz="4" w:space="0"/>
              <w:bottom w:val="single" w:color="auto" w:sz="4" w:space="0"/>
            </w:tcBorders>
            <w:noWrap w:val="0"/>
            <w:vAlign w:val="center"/>
          </w:tcPr>
          <w:p>
            <w:pPr>
              <w:pStyle w:val="26"/>
              <w:jc w:val="center"/>
              <w:rPr>
                <w:rFonts w:hint="default" w:ascii="Times New Roman" w:hAnsi="Times New Roman" w:eastAsia="宋体" w:cs="Times New Roman"/>
              </w:rPr>
            </w:pPr>
            <w:r>
              <w:rPr>
                <w:rFonts w:hint="default" w:ascii="Times New Roman" w:hAnsi="Times New Roman" w:eastAsia="宋体" w:cs="Times New Roman"/>
              </w:rPr>
              <w:t>半致死浓度范围(m)</w:t>
            </w:r>
          </w:p>
        </w:tc>
        <w:tc>
          <w:tcPr>
            <w:tcW w:w="887" w:type="pct"/>
            <w:tcBorders>
              <w:top w:val="single" w:color="auto" w:sz="4" w:space="0"/>
              <w:bottom w:val="single" w:color="auto" w:sz="4" w:space="0"/>
            </w:tcBorders>
            <w:noWrap w:val="0"/>
            <w:vAlign w:val="center"/>
          </w:tcPr>
          <w:p>
            <w:pPr>
              <w:pStyle w:val="26"/>
              <w:jc w:val="center"/>
              <w:rPr>
                <w:rFonts w:hint="default" w:ascii="Times New Roman" w:hAnsi="Times New Roman" w:eastAsia="宋体" w:cs="Times New Roman"/>
              </w:rPr>
            </w:pPr>
            <w:r>
              <w:rPr>
                <w:rFonts w:hint="default" w:ascii="Times New Roman" w:hAnsi="Times New Roman" w:eastAsia="宋体" w:cs="Times New Roman"/>
              </w:rPr>
              <w:t>18.1</w:t>
            </w:r>
          </w:p>
        </w:tc>
        <w:tc>
          <w:tcPr>
            <w:tcW w:w="887" w:type="pct"/>
            <w:tcBorders>
              <w:top w:val="single" w:color="auto" w:sz="4" w:space="0"/>
              <w:bottom w:val="single" w:color="auto" w:sz="4" w:space="0"/>
            </w:tcBorders>
            <w:noWrap w:val="0"/>
            <w:vAlign w:val="center"/>
          </w:tcPr>
          <w:p>
            <w:pPr>
              <w:pStyle w:val="26"/>
              <w:jc w:val="center"/>
              <w:rPr>
                <w:rFonts w:hint="default" w:ascii="Times New Roman" w:hAnsi="Times New Roman" w:eastAsia="宋体" w:cs="Times New Roman"/>
              </w:rPr>
            </w:pPr>
            <w:r>
              <w:rPr>
                <w:rFonts w:hint="default" w:ascii="Times New Roman" w:hAnsi="Times New Roman" w:eastAsia="宋体" w:cs="Times New Roman"/>
              </w:rPr>
              <w:t>36.6</w:t>
            </w:r>
          </w:p>
        </w:tc>
        <w:tc>
          <w:tcPr>
            <w:tcW w:w="857" w:type="pct"/>
            <w:tcBorders>
              <w:top w:val="single" w:color="auto" w:sz="4" w:space="0"/>
              <w:bottom w:val="single" w:color="auto" w:sz="4" w:space="0"/>
            </w:tcBorders>
            <w:noWrap w:val="0"/>
            <w:vAlign w:val="center"/>
          </w:tcPr>
          <w:p>
            <w:pPr>
              <w:pStyle w:val="26"/>
              <w:jc w:val="center"/>
              <w:rPr>
                <w:rFonts w:hint="default" w:ascii="Times New Roman" w:hAnsi="Times New Roman" w:eastAsia="宋体" w:cs="Times New Roman"/>
              </w:rPr>
            </w:pPr>
            <w:r>
              <w:rPr>
                <w:rFonts w:hint="default" w:ascii="Times New Roman" w:hAnsi="Times New Roman" w:eastAsia="宋体" w:cs="Times New Roman"/>
              </w:rPr>
              <w:t>91.3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699" w:type="pct"/>
            <w:vMerge w:val="continue"/>
            <w:tcBorders>
              <w:top w:val="single" w:color="auto" w:sz="4" w:space="0"/>
              <w:bottom w:val="single" w:color="auto" w:sz="4" w:space="0"/>
            </w:tcBorders>
            <w:noWrap w:val="0"/>
            <w:vAlign w:val="center"/>
          </w:tcPr>
          <w:p>
            <w:pPr>
              <w:pStyle w:val="26"/>
              <w:jc w:val="center"/>
              <w:rPr>
                <w:rFonts w:hint="default" w:ascii="Times New Roman" w:hAnsi="Times New Roman" w:eastAsia="宋体" w:cs="Times New Roman"/>
              </w:rPr>
            </w:pPr>
          </w:p>
        </w:tc>
        <w:tc>
          <w:tcPr>
            <w:tcW w:w="1668" w:type="pct"/>
            <w:tcBorders>
              <w:top w:val="single" w:color="auto" w:sz="4" w:space="0"/>
              <w:bottom w:val="single" w:color="auto" w:sz="4" w:space="0"/>
            </w:tcBorders>
            <w:noWrap w:val="0"/>
            <w:vAlign w:val="center"/>
          </w:tcPr>
          <w:p>
            <w:pPr>
              <w:pStyle w:val="26"/>
              <w:jc w:val="center"/>
              <w:rPr>
                <w:rFonts w:hint="default" w:ascii="Times New Roman" w:hAnsi="Times New Roman" w:eastAsia="宋体" w:cs="Times New Roman"/>
              </w:rPr>
            </w:pPr>
            <w:r>
              <w:rPr>
                <w:rFonts w:hint="default" w:ascii="Times New Roman" w:hAnsi="Times New Roman" w:eastAsia="宋体" w:cs="Times New Roman"/>
              </w:rPr>
              <w:t>短时间接触容许浓度范围(m)</w:t>
            </w:r>
          </w:p>
        </w:tc>
        <w:tc>
          <w:tcPr>
            <w:tcW w:w="887" w:type="pct"/>
            <w:tcBorders>
              <w:top w:val="single" w:color="auto" w:sz="4" w:space="0"/>
              <w:bottom w:val="single" w:color="auto" w:sz="4" w:space="0"/>
            </w:tcBorders>
            <w:noWrap w:val="0"/>
            <w:vAlign w:val="center"/>
          </w:tcPr>
          <w:p>
            <w:pPr>
              <w:pStyle w:val="26"/>
              <w:jc w:val="center"/>
              <w:rPr>
                <w:rFonts w:hint="default" w:ascii="Times New Roman" w:hAnsi="Times New Roman" w:eastAsia="宋体" w:cs="Times New Roman"/>
              </w:rPr>
            </w:pPr>
            <w:r>
              <w:rPr>
                <w:rFonts w:hint="default" w:ascii="Times New Roman" w:hAnsi="Times New Roman" w:eastAsia="宋体" w:cs="Times New Roman"/>
              </w:rPr>
              <w:t>582.1</w:t>
            </w:r>
          </w:p>
        </w:tc>
        <w:tc>
          <w:tcPr>
            <w:tcW w:w="887" w:type="pct"/>
            <w:tcBorders>
              <w:top w:val="single" w:color="auto" w:sz="4" w:space="0"/>
              <w:bottom w:val="single" w:color="auto" w:sz="4" w:space="0"/>
            </w:tcBorders>
            <w:noWrap w:val="0"/>
            <w:vAlign w:val="center"/>
          </w:tcPr>
          <w:p>
            <w:pPr>
              <w:pStyle w:val="26"/>
              <w:jc w:val="center"/>
              <w:rPr>
                <w:rFonts w:hint="default" w:ascii="Times New Roman" w:hAnsi="Times New Roman" w:eastAsia="宋体" w:cs="Times New Roman"/>
              </w:rPr>
            </w:pPr>
            <w:r>
              <w:rPr>
                <w:rFonts w:hint="default" w:ascii="Times New Roman" w:hAnsi="Times New Roman" w:eastAsia="宋体" w:cs="Times New Roman"/>
              </w:rPr>
              <w:t>1964.8</w:t>
            </w:r>
          </w:p>
        </w:tc>
        <w:tc>
          <w:tcPr>
            <w:tcW w:w="857" w:type="pct"/>
            <w:tcBorders>
              <w:top w:val="single" w:color="auto" w:sz="4" w:space="0"/>
              <w:bottom w:val="single" w:color="auto" w:sz="4" w:space="0"/>
            </w:tcBorders>
            <w:noWrap w:val="0"/>
            <w:vAlign w:val="center"/>
          </w:tcPr>
          <w:p>
            <w:pPr>
              <w:pStyle w:val="26"/>
              <w:jc w:val="center"/>
              <w:rPr>
                <w:rFonts w:hint="default" w:ascii="Times New Roman" w:hAnsi="Times New Roman" w:eastAsia="宋体" w:cs="Times New Roman"/>
              </w:rPr>
            </w:pPr>
            <w:r>
              <w:rPr>
                <w:rFonts w:hint="default" w:ascii="Times New Roman" w:hAnsi="Times New Roman" w:eastAsia="宋体" w:cs="Times New Roman"/>
              </w:rPr>
              <w:t>1690.4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699" w:type="pct"/>
            <w:tcBorders>
              <w:top w:val="single" w:color="auto" w:sz="4" w:space="0"/>
              <w:bottom w:val="single" w:color="auto" w:sz="4" w:space="0"/>
            </w:tcBorders>
            <w:noWrap w:val="0"/>
            <w:vAlign w:val="center"/>
          </w:tcPr>
          <w:p>
            <w:pPr>
              <w:pStyle w:val="26"/>
              <w:jc w:val="center"/>
              <w:rPr>
                <w:rFonts w:hint="default" w:ascii="Times New Roman" w:hAnsi="Times New Roman" w:eastAsia="宋体" w:cs="Times New Roman"/>
              </w:rPr>
            </w:pPr>
          </w:p>
        </w:tc>
        <w:tc>
          <w:tcPr>
            <w:tcW w:w="4300" w:type="pct"/>
            <w:gridSpan w:val="4"/>
            <w:tcBorders>
              <w:top w:val="single" w:color="auto" w:sz="4" w:space="0"/>
              <w:bottom w:val="single" w:color="auto" w:sz="4" w:space="0"/>
            </w:tcBorders>
            <w:noWrap w:val="0"/>
            <w:vAlign w:val="center"/>
          </w:tcPr>
          <w:p>
            <w:pPr>
              <w:pStyle w:val="26"/>
              <w:jc w:val="center"/>
              <w:rPr>
                <w:rFonts w:hint="default" w:ascii="Times New Roman" w:hAnsi="Times New Roman" w:eastAsia="宋体" w:cs="Times New Roman"/>
              </w:rPr>
            </w:pPr>
            <w:r>
              <w:rPr>
                <w:rFonts w:hint="default" w:ascii="Times New Roman" w:hAnsi="Times New Roman" w:eastAsia="宋体" w:cs="Times New Roman"/>
              </w:rPr>
              <w:t>静风条件下(0.5m/s)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699" w:type="pct"/>
            <w:vMerge w:val="restart"/>
            <w:tcBorders>
              <w:top w:val="single" w:color="auto" w:sz="4" w:space="0"/>
              <w:bottom w:val="single" w:color="auto" w:sz="4" w:space="0"/>
            </w:tcBorders>
            <w:noWrap w:val="0"/>
            <w:vAlign w:val="center"/>
          </w:tcPr>
          <w:p>
            <w:pPr>
              <w:pStyle w:val="26"/>
              <w:jc w:val="center"/>
              <w:rPr>
                <w:rFonts w:hint="default" w:ascii="Times New Roman" w:hAnsi="Times New Roman" w:eastAsia="宋体" w:cs="Times New Roman"/>
              </w:rPr>
            </w:pPr>
            <w:r>
              <w:rPr>
                <w:rFonts w:hint="default" w:ascii="Times New Roman" w:hAnsi="Times New Roman" w:eastAsia="宋体" w:cs="Times New Roman"/>
              </w:rPr>
              <w:t>汽油</w:t>
            </w:r>
          </w:p>
        </w:tc>
        <w:tc>
          <w:tcPr>
            <w:tcW w:w="1668" w:type="pct"/>
            <w:tcBorders>
              <w:top w:val="single" w:color="auto" w:sz="4" w:space="0"/>
              <w:bottom w:val="single" w:color="auto" w:sz="4" w:space="0"/>
            </w:tcBorders>
            <w:noWrap w:val="0"/>
            <w:vAlign w:val="center"/>
          </w:tcPr>
          <w:p>
            <w:pPr>
              <w:pStyle w:val="26"/>
              <w:jc w:val="center"/>
              <w:rPr>
                <w:rFonts w:hint="default" w:ascii="Times New Roman" w:hAnsi="Times New Roman" w:eastAsia="宋体" w:cs="Times New Roman"/>
              </w:rPr>
            </w:pPr>
            <w:r>
              <w:rPr>
                <w:rFonts w:hint="default" w:ascii="Times New Roman" w:hAnsi="Times New Roman" w:eastAsia="宋体" w:cs="Times New Roman"/>
              </w:rPr>
              <w:t>最大落地浓度(mg/m</w:t>
            </w:r>
            <w:r>
              <w:rPr>
                <w:rFonts w:hint="default" w:ascii="Times New Roman" w:hAnsi="Times New Roman" w:eastAsia="宋体" w:cs="Times New Roman"/>
                <w:vertAlign w:val="superscript"/>
              </w:rPr>
              <w:t>3</w:t>
            </w:r>
            <w:r>
              <w:rPr>
                <w:rFonts w:hint="default" w:ascii="Times New Roman" w:hAnsi="Times New Roman" w:eastAsia="宋体" w:cs="Times New Roman"/>
              </w:rPr>
              <w:t>)</w:t>
            </w:r>
          </w:p>
        </w:tc>
        <w:tc>
          <w:tcPr>
            <w:tcW w:w="887" w:type="pct"/>
            <w:tcBorders>
              <w:top w:val="single" w:color="auto" w:sz="4" w:space="0"/>
              <w:bottom w:val="single" w:color="auto" w:sz="4" w:space="0"/>
            </w:tcBorders>
            <w:noWrap w:val="0"/>
            <w:vAlign w:val="center"/>
          </w:tcPr>
          <w:p>
            <w:pPr>
              <w:pStyle w:val="26"/>
              <w:jc w:val="center"/>
              <w:rPr>
                <w:rFonts w:hint="default" w:ascii="Times New Roman" w:hAnsi="Times New Roman" w:eastAsia="宋体" w:cs="Times New Roman"/>
              </w:rPr>
            </w:pPr>
            <w:r>
              <w:rPr>
                <w:rFonts w:hint="default" w:ascii="Times New Roman" w:hAnsi="Times New Roman" w:eastAsia="宋体" w:cs="Times New Roman"/>
              </w:rPr>
              <w:t>53496.8330</w:t>
            </w:r>
          </w:p>
        </w:tc>
        <w:tc>
          <w:tcPr>
            <w:tcW w:w="887" w:type="pct"/>
            <w:tcBorders>
              <w:top w:val="single" w:color="auto" w:sz="4" w:space="0"/>
              <w:bottom w:val="single" w:color="auto" w:sz="4" w:space="0"/>
            </w:tcBorders>
            <w:noWrap w:val="0"/>
            <w:vAlign w:val="center"/>
          </w:tcPr>
          <w:p>
            <w:pPr>
              <w:pStyle w:val="26"/>
              <w:jc w:val="center"/>
              <w:rPr>
                <w:rFonts w:hint="default" w:ascii="Times New Roman" w:hAnsi="Times New Roman" w:eastAsia="宋体" w:cs="Times New Roman"/>
              </w:rPr>
            </w:pPr>
            <w:r>
              <w:rPr>
                <w:rFonts w:hint="default" w:ascii="Times New Roman" w:hAnsi="Times New Roman" w:eastAsia="宋体" w:cs="Times New Roman"/>
              </w:rPr>
              <w:t>4432899.0450</w:t>
            </w:r>
          </w:p>
        </w:tc>
        <w:tc>
          <w:tcPr>
            <w:tcW w:w="857" w:type="pct"/>
            <w:tcBorders>
              <w:top w:val="single" w:color="auto" w:sz="4" w:space="0"/>
              <w:bottom w:val="single" w:color="auto" w:sz="4" w:space="0"/>
            </w:tcBorders>
            <w:noWrap w:val="0"/>
            <w:vAlign w:val="center"/>
          </w:tcPr>
          <w:p>
            <w:pPr>
              <w:pStyle w:val="26"/>
              <w:jc w:val="center"/>
              <w:rPr>
                <w:rFonts w:hint="default" w:ascii="Times New Roman" w:hAnsi="Times New Roman" w:eastAsia="宋体" w:cs="Times New Roman"/>
              </w:rPr>
            </w:pPr>
            <w:r>
              <w:rPr>
                <w:rFonts w:hint="default" w:ascii="Times New Roman" w:hAnsi="Times New Roman" w:eastAsia="宋体" w:cs="Times New Roman"/>
              </w:rPr>
              <w:t>5691854.3558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699" w:type="pct"/>
            <w:vMerge w:val="continue"/>
            <w:tcBorders>
              <w:top w:val="single" w:color="auto" w:sz="4" w:space="0"/>
              <w:bottom w:val="single" w:color="auto" w:sz="4" w:space="0"/>
            </w:tcBorders>
            <w:noWrap w:val="0"/>
            <w:vAlign w:val="center"/>
          </w:tcPr>
          <w:p>
            <w:pPr>
              <w:pStyle w:val="26"/>
              <w:jc w:val="center"/>
              <w:rPr>
                <w:rFonts w:hint="default" w:ascii="Times New Roman" w:hAnsi="Times New Roman" w:eastAsia="宋体" w:cs="Times New Roman"/>
              </w:rPr>
            </w:pPr>
          </w:p>
        </w:tc>
        <w:tc>
          <w:tcPr>
            <w:tcW w:w="1668" w:type="pct"/>
            <w:tcBorders>
              <w:top w:val="single" w:color="auto" w:sz="4" w:space="0"/>
              <w:bottom w:val="single" w:color="auto" w:sz="4" w:space="0"/>
            </w:tcBorders>
            <w:noWrap w:val="0"/>
            <w:vAlign w:val="center"/>
          </w:tcPr>
          <w:p>
            <w:pPr>
              <w:pStyle w:val="26"/>
              <w:jc w:val="center"/>
              <w:rPr>
                <w:rFonts w:hint="default" w:ascii="Times New Roman" w:hAnsi="Times New Roman" w:eastAsia="宋体" w:cs="Times New Roman"/>
              </w:rPr>
            </w:pPr>
            <w:r>
              <w:rPr>
                <w:rFonts w:hint="default" w:ascii="Times New Roman" w:hAnsi="Times New Roman" w:eastAsia="宋体" w:cs="Times New Roman"/>
              </w:rPr>
              <w:t>最大落地浓度出现距离(m)</w:t>
            </w:r>
          </w:p>
        </w:tc>
        <w:tc>
          <w:tcPr>
            <w:tcW w:w="887" w:type="pct"/>
            <w:tcBorders>
              <w:top w:val="single" w:color="auto" w:sz="4" w:space="0"/>
              <w:bottom w:val="single" w:color="auto" w:sz="4" w:space="0"/>
            </w:tcBorders>
            <w:noWrap w:val="0"/>
            <w:vAlign w:val="center"/>
          </w:tcPr>
          <w:p>
            <w:pPr>
              <w:pStyle w:val="26"/>
              <w:jc w:val="center"/>
              <w:rPr>
                <w:rFonts w:hint="default" w:ascii="Times New Roman" w:hAnsi="Times New Roman" w:eastAsia="宋体" w:cs="Times New Roman"/>
              </w:rPr>
            </w:pPr>
            <w:r>
              <w:rPr>
                <w:rFonts w:hint="default" w:ascii="Times New Roman" w:hAnsi="Times New Roman" w:eastAsia="宋体" w:cs="Times New Roman"/>
              </w:rPr>
              <w:t>4.4</w:t>
            </w:r>
          </w:p>
        </w:tc>
        <w:tc>
          <w:tcPr>
            <w:tcW w:w="887" w:type="pct"/>
            <w:tcBorders>
              <w:top w:val="single" w:color="auto" w:sz="4" w:space="0"/>
              <w:bottom w:val="single" w:color="auto" w:sz="4" w:space="0"/>
            </w:tcBorders>
            <w:noWrap w:val="0"/>
            <w:vAlign w:val="center"/>
          </w:tcPr>
          <w:p>
            <w:pPr>
              <w:pStyle w:val="26"/>
              <w:jc w:val="center"/>
              <w:rPr>
                <w:rFonts w:hint="default" w:ascii="Times New Roman" w:hAnsi="Times New Roman" w:eastAsia="宋体" w:cs="Times New Roman"/>
              </w:rPr>
            </w:pPr>
            <w:r>
              <w:rPr>
                <w:rFonts w:hint="default" w:ascii="Times New Roman" w:hAnsi="Times New Roman" w:eastAsia="宋体" w:cs="Times New Roman"/>
              </w:rPr>
              <w:t>3.7</w:t>
            </w:r>
          </w:p>
        </w:tc>
        <w:tc>
          <w:tcPr>
            <w:tcW w:w="857" w:type="pct"/>
            <w:tcBorders>
              <w:top w:val="single" w:color="auto" w:sz="4" w:space="0"/>
              <w:bottom w:val="single" w:color="auto" w:sz="4" w:space="0"/>
            </w:tcBorders>
            <w:noWrap w:val="0"/>
            <w:vAlign w:val="center"/>
          </w:tcPr>
          <w:p>
            <w:pPr>
              <w:pStyle w:val="26"/>
              <w:jc w:val="center"/>
              <w:rPr>
                <w:rFonts w:hint="default" w:ascii="Times New Roman" w:hAnsi="Times New Roman" w:eastAsia="宋体" w:cs="Times New Roman"/>
              </w:rPr>
            </w:pPr>
            <w:r>
              <w:rPr>
                <w:rFonts w:hint="default" w:ascii="Times New Roman" w:hAnsi="Times New Roman" w:eastAsia="宋体" w:cs="Times New Roman"/>
              </w:rPr>
              <w:t>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699" w:type="pct"/>
            <w:vMerge w:val="continue"/>
            <w:tcBorders>
              <w:top w:val="single" w:color="auto" w:sz="4" w:space="0"/>
              <w:bottom w:val="single" w:color="auto" w:sz="4" w:space="0"/>
            </w:tcBorders>
            <w:noWrap w:val="0"/>
            <w:vAlign w:val="center"/>
          </w:tcPr>
          <w:p>
            <w:pPr>
              <w:pStyle w:val="26"/>
              <w:jc w:val="center"/>
              <w:rPr>
                <w:rFonts w:hint="default" w:ascii="Times New Roman" w:hAnsi="Times New Roman" w:eastAsia="宋体" w:cs="Times New Roman"/>
              </w:rPr>
            </w:pPr>
          </w:p>
        </w:tc>
        <w:tc>
          <w:tcPr>
            <w:tcW w:w="1668" w:type="pct"/>
            <w:tcBorders>
              <w:top w:val="single" w:color="auto" w:sz="4" w:space="0"/>
              <w:bottom w:val="single" w:color="auto" w:sz="4" w:space="0"/>
            </w:tcBorders>
            <w:noWrap w:val="0"/>
            <w:vAlign w:val="center"/>
          </w:tcPr>
          <w:p>
            <w:pPr>
              <w:pStyle w:val="26"/>
              <w:jc w:val="center"/>
              <w:rPr>
                <w:rFonts w:hint="default" w:ascii="Times New Roman" w:hAnsi="Times New Roman" w:eastAsia="宋体" w:cs="Times New Roman"/>
              </w:rPr>
            </w:pPr>
            <w:r>
              <w:rPr>
                <w:rFonts w:hint="default" w:ascii="Times New Roman" w:hAnsi="Times New Roman" w:eastAsia="宋体" w:cs="Times New Roman"/>
              </w:rPr>
              <w:t>半致死浓度范围(m)</w:t>
            </w:r>
          </w:p>
        </w:tc>
        <w:tc>
          <w:tcPr>
            <w:tcW w:w="887" w:type="pct"/>
            <w:tcBorders>
              <w:top w:val="single" w:color="auto" w:sz="4" w:space="0"/>
              <w:bottom w:val="single" w:color="auto" w:sz="4" w:space="0"/>
            </w:tcBorders>
            <w:noWrap w:val="0"/>
            <w:vAlign w:val="center"/>
          </w:tcPr>
          <w:p>
            <w:pPr>
              <w:pStyle w:val="26"/>
              <w:jc w:val="center"/>
              <w:rPr>
                <w:rFonts w:hint="default" w:ascii="Times New Roman" w:hAnsi="Times New Roman" w:eastAsia="宋体" w:cs="Times New Roman"/>
              </w:rPr>
            </w:pPr>
            <w:r>
              <w:rPr>
                <w:rFonts w:hint="default" w:ascii="Times New Roman" w:hAnsi="Times New Roman" w:eastAsia="宋体" w:cs="Times New Roman"/>
              </w:rPr>
              <w:t>/</w:t>
            </w:r>
          </w:p>
        </w:tc>
        <w:tc>
          <w:tcPr>
            <w:tcW w:w="887" w:type="pct"/>
            <w:tcBorders>
              <w:top w:val="single" w:color="auto" w:sz="4" w:space="0"/>
              <w:bottom w:val="single" w:color="auto" w:sz="4" w:space="0"/>
            </w:tcBorders>
            <w:noWrap w:val="0"/>
            <w:vAlign w:val="center"/>
          </w:tcPr>
          <w:p>
            <w:pPr>
              <w:pStyle w:val="26"/>
              <w:jc w:val="center"/>
              <w:rPr>
                <w:rFonts w:hint="default" w:ascii="Times New Roman" w:hAnsi="Times New Roman" w:eastAsia="宋体" w:cs="Times New Roman"/>
              </w:rPr>
            </w:pPr>
            <w:r>
              <w:rPr>
                <w:rFonts w:hint="default" w:ascii="Times New Roman" w:hAnsi="Times New Roman" w:eastAsia="宋体" w:cs="Times New Roman"/>
              </w:rPr>
              <w:t>37.6</w:t>
            </w:r>
          </w:p>
        </w:tc>
        <w:tc>
          <w:tcPr>
            <w:tcW w:w="857" w:type="pct"/>
            <w:tcBorders>
              <w:top w:val="single" w:color="auto" w:sz="4" w:space="0"/>
              <w:bottom w:val="single" w:color="auto" w:sz="4" w:space="0"/>
            </w:tcBorders>
            <w:noWrap w:val="0"/>
            <w:vAlign w:val="center"/>
          </w:tcPr>
          <w:p>
            <w:pPr>
              <w:pStyle w:val="26"/>
              <w:jc w:val="center"/>
              <w:rPr>
                <w:rFonts w:hint="default" w:ascii="Times New Roman" w:hAnsi="Times New Roman" w:eastAsia="宋体" w:cs="Times New Roman"/>
              </w:rPr>
            </w:pPr>
            <w:r>
              <w:rPr>
                <w:rFonts w:hint="default" w:ascii="Times New Roman" w:hAnsi="Times New Roman" w:eastAsia="宋体" w:cs="Times New Roman"/>
              </w:rPr>
              <w:t>55.5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699" w:type="pct"/>
            <w:vMerge w:val="continue"/>
            <w:tcBorders>
              <w:top w:val="single" w:color="auto" w:sz="4" w:space="0"/>
            </w:tcBorders>
            <w:noWrap w:val="0"/>
            <w:vAlign w:val="center"/>
          </w:tcPr>
          <w:p>
            <w:pPr>
              <w:pStyle w:val="26"/>
              <w:jc w:val="center"/>
              <w:rPr>
                <w:rFonts w:hint="default" w:ascii="Times New Roman" w:hAnsi="Times New Roman" w:eastAsia="宋体" w:cs="Times New Roman"/>
              </w:rPr>
            </w:pPr>
          </w:p>
        </w:tc>
        <w:tc>
          <w:tcPr>
            <w:tcW w:w="1668" w:type="pct"/>
            <w:tcBorders>
              <w:top w:val="single" w:color="auto" w:sz="4" w:space="0"/>
            </w:tcBorders>
            <w:noWrap w:val="0"/>
            <w:vAlign w:val="center"/>
          </w:tcPr>
          <w:p>
            <w:pPr>
              <w:pStyle w:val="26"/>
              <w:jc w:val="center"/>
              <w:rPr>
                <w:rFonts w:hint="default" w:ascii="Times New Roman" w:hAnsi="Times New Roman" w:eastAsia="宋体" w:cs="Times New Roman"/>
              </w:rPr>
            </w:pPr>
            <w:r>
              <w:rPr>
                <w:rFonts w:hint="default" w:ascii="Times New Roman" w:hAnsi="Times New Roman" w:eastAsia="宋体" w:cs="Times New Roman"/>
              </w:rPr>
              <w:t>短时间接触容许浓度范围(m)</w:t>
            </w:r>
          </w:p>
        </w:tc>
        <w:tc>
          <w:tcPr>
            <w:tcW w:w="887" w:type="pct"/>
            <w:tcBorders>
              <w:top w:val="single" w:color="auto" w:sz="4" w:space="0"/>
            </w:tcBorders>
            <w:noWrap w:val="0"/>
            <w:vAlign w:val="center"/>
          </w:tcPr>
          <w:p>
            <w:pPr>
              <w:pStyle w:val="26"/>
              <w:jc w:val="center"/>
              <w:rPr>
                <w:rFonts w:hint="default" w:ascii="Times New Roman" w:hAnsi="Times New Roman" w:eastAsia="宋体" w:cs="Times New Roman"/>
              </w:rPr>
            </w:pPr>
            <w:r>
              <w:rPr>
                <w:rFonts w:hint="default" w:ascii="Times New Roman" w:hAnsi="Times New Roman" w:eastAsia="宋体" w:cs="Times New Roman"/>
              </w:rPr>
              <w:t>136.6</w:t>
            </w:r>
          </w:p>
        </w:tc>
        <w:tc>
          <w:tcPr>
            <w:tcW w:w="887" w:type="pct"/>
            <w:tcBorders>
              <w:top w:val="single" w:color="auto" w:sz="4" w:space="0"/>
            </w:tcBorders>
            <w:noWrap w:val="0"/>
            <w:vAlign w:val="center"/>
          </w:tcPr>
          <w:p>
            <w:pPr>
              <w:pStyle w:val="26"/>
              <w:jc w:val="center"/>
              <w:rPr>
                <w:rFonts w:hint="default" w:ascii="Times New Roman" w:hAnsi="Times New Roman" w:eastAsia="宋体" w:cs="Times New Roman"/>
              </w:rPr>
            </w:pPr>
            <w:r>
              <w:rPr>
                <w:rFonts w:hint="default" w:ascii="Times New Roman" w:hAnsi="Times New Roman" w:eastAsia="宋体" w:cs="Times New Roman"/>
              </w:rPr>
              <w:t>540.9</w:t>
            </w:r>
          </w:p>
        </w:tc>
        <w:tc>
          <w:tcPr>
            <w:tcW w:w="857" w:type="pct"/>
            <w:tcBorders>
              <w:top w:val="single" w:color="auto" w:sz="4" w:space="0"/>
            </w:tcBorders>
            <w:noWrap w:val="0"/>
            <w:vAlign w:val="center"/>
          </w:tcPr>
          <w:p>
            <w:pPr>
              <w:pStyle w:val="26"/>
              <w:jc w:val="center"/>
              <w:rPr>
                <w:rFonts w:hint="default" w:ascii="Times New Roman" w:hAnsi="Times New Roman" w:eastAsia="宋体" w:cs="Times New Roman"/>
              </w:rPr>
            </w:pPr>
            <w:r>
              <w:rPr>
                <w:rFonts w:hint="default" w:ascii="Times New Roman" w:hAnsi="Times New Roman" w:eastAsia="宋体" w:cs="Times New Roman"/>
              </w:rPr>
              <w:t>641.4</w:t>
            </w:r>
          </w:p>
        </w:tc>
      </w:tr>
    </w:tbl>
    <w:p>
      <w:pPr>
        <w:pStyle w:val="19"/>
        <w:ind w:left="0" w:leftChars="0" w:firstLine="0"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注：本次预测按20min、40min、60min、80min和120min进行，上表中给出各个预测时刻最大落地浓度及对应的最大落地浓度出现距离，半致死浓度范围以及短时间接触容许浓度范围</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表3.3-4可知，汽油储罐泄漏后在平均风速（2.3m/s）条件下均出现半致死浓度范围，在F稳定度下影响范围最广，达到91.3m；静风条件下（0.5m/s），汽油储罐泄漏后在D和F稳定度下出现半致死浓度范围，F稳定度下达到55.5m，主要集中在厂区。</w:t>
      </w:r>
    </w:p>
    <w:p>
      <w:pPr>
        <w:pStyle w:val="21"/>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outlineLvl w:val="0"/>
        <w:rPr>
          <w:rFonts w:hint="default" w:ascii="Times New Roman" w:hAnsi="Times New Roman" w:eastAsia="宋体" w:cs="Times New Roman"/>
          <w:sz w:val="30"/>
          <w:szCs w:val="30"/>
        </w:rPr>
      </w:pPr>
      <w:bookmarkStart w:id="76" w:name="_Toc10447"/>
      <w:r>
        <w:rPr>
          <w:rFonts w:hint="eastAsia" w:eastAsia="宋体" w:cs="Times New Roman"/>
          <w:sz w:val="30"/>
          <w:szCs w:val="30"/>
          <w:lang w:val="en-US" w:eastAsia="zh-CN"/>
        </w:rPr>
        <w:t>4</w:t>
      </w:r>
      <w:r>
        <w:rPr>
          <w:rFonts w:hint="default" w:ascii="Times New Roman" w:hAnsi="Times New Roman" w:eastAsia="宋体" w:cs="Times New Roman"/>
          <w:sz w:val="30"/>
          <w:szCs w:val="30"/>
        </w:rPr>
        <w:t>.</w:t>
      </w:r>
      <w:r>
        <w:rPr>
          <w:rFonts w:hint="eastAsia" w:ascii="Times New Roman" w:hAnsi="Times New Roman" w:eastAsia="宋体" w:cs="Times New Roman"/>
          <w:sz w:val="30"/>
          <w:szCs w:val="30"/>
          <w:lang w:val="en-US" w:eastAsia="zh-CN"/>
        </w:rPr>
        <w:t>4</w:t>
      </w:r>
      <w:r>
        <w:rPr>
          <w:rFonts w:hint="default" w:ascii="Times New Roman" w:hAnsi="Times New Roman" w:eastAsia="宋体" w:cs="Times New Roman"/>
          <w:sz w:val="30"/>
          <w:szCs w:val="30"/>
        </w:rPr>
        <w:t>释放环境风险物质的扩散途径、风险防控与应急措施、应急资源情况分析</w:t>
      </w:r>
      <w:bookmarkEnd w:id="76"/>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b/>
          <w:sz w:val="21"/>
          <w:szCs w:val="21"/>
        </w:rPr>
      </w:pPr>
      <w:r>
        <w:rPr>
          <w:rFonts w:hint="eastAsia"/>
          <w:b/>
          <w:bCs/>
          <w:sz w:val="21"/>
          <w:szCs w:val="21"/>
        </w:rPr>
        <w:t>表4</w:t>
      </w:r>
      <w:r>
        <w:rPr>
          <w:rFonts w:hint="eastAsia"/>
          <w:b/>
          <w:bCs/>
          <w:sz w:val="21"/>
          <w:szCs w:val="21"/>
          <w:lang w:val="en-US" w:eastAsia="zh-CN"/>
        </w:rPr>
        <w:t>.4</w:t>
      </w:r>
      <w:r>
        <w:rPr>
          <w:rFonts w:hint="eastAsia"/>
          <w:b/>
          <w:bCs/>
          <w:sz w:val="21"/>
          <w:szCs w:val="21"/>
        </w:rPr>
        <w:t>-</w:t>
      </w:r>
      <w:r>
        <w:rPr>
          <w:rFonts w:hint="eastAsia"/>
          <w:b/>
          <w:bCs/>
          <w:sz w:val="21"/>
          <w:szCs w:val="21"/>
          <w:lang w:val="en-US" w:eastAsia="zh-CN"/>
        </w:rPr>
        <w:t>1</w:t>
      </w:r>
      <w:r>
        <w:rPr>
          <w:rFonts w:hint="eastAsia"/>
          <w:b/>
          <w:bCs/>
          <w:sz w:val="21"/>
          <w:szCs w:val="21"/>
        </w:rPr>
        <w:t xml:space="preserve">  环境风险物质释放途径、涉外环境风险防控与应急措施、应急资源情况表</w:t>
      </w:r>
    </w:p>
    <w:tbl>
      <w:tblPr>
        <w:tblStyle w:val="15"/>
        <w:tblW w:w="82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0"/>
        <w:gridCol w:w="525"/>
        <w:gridCol w:w="3450"/>
        <w:gridCol w:w="2563"/>
        <w:gridCol w:w="10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
                <w:sz w:val="21"/>
                <w:szCs w:val="21"/>
              </w:rPr>
            </w:pPr>
            <w:r>
              <w:rPr>
                <w:rFonts w:ascii="Times New Roman" w:hAnsi="Times New Roman"/>
                <w:b/>
                <w:sz w:val="21"/>
                <w:szCs w:val="21"/>
              </w:rPr>
              <w:t>环境事件原因</w:t>
            </w:r>
          </w:p>
        </w:tc>
        <w:tc>
          <w:tcPr>
            <w:tcW w:w="34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
                <w:sz w:val="21"/>
                <w:szCs w:val="21"/>
              </w:rPr>
            </w:pPr>
            <w:r>
              <w:rPr>
                <w:rFonts w:ascii="Times New Roman" w:hAnsi="Times New Roman"/>
                <w:b/>
                <w:sz w:val="21"/>
                <w:szCs w:val="21"/>
              </w:rPr>
              <w:t>风险物质释放途径</w:t>
            </w:r>
          </w:p>
        </w:tc>
        <w:tc>
          <w:tcPr>
            <w:tcW w:w="25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
                <w:sz w:val="21"/>
                <w:szCs w:val="21"/>
              </w:rPr>
            </w:pPr>
            <w:r>
              <w:rPr>
                <w:rFonts w:ascii="Times New Roman" w:hAnsi="Times New Roman"/>
                <w:b/>
                <w:sz w:val="21"/>
                <w:szCs w:val="21"/>
              </w:rPr>
              <w:t>涉外环境风险防控与应急措施</w:t>
            </w:r>
          </w:p>
        </w:tc>
        <w:tc>
          <w:tcPr>
            <w:tcW w:w="10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
                <w:sz w:val="21"/>
                <w:szCs w:val="21"/>
              </w:rPr>
            </w:pPr>
            <w:r>
              <w:rPr>
                <w:rFonts w:ascii="Times New Roman" w:hAnsi="Times New Roman"/>
                <w:b/>
                <w:sz w:val="21"/>
                <w:szCs w:val="21"/>
              </w:rPr>
              <w:t>应急资源情况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0" w:type="dxa"/>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ascii="Times New Roman" w:hAnsi="Times New Roman"/>
                <w:sz w:val="21"/>
                <w:szCs w:val="21"/>
              </w:rPr>
            </w:pPr>
            <w:r>
              <w:rPr>
                <w:rFonts w:ascii="Times New Roman" w:hAnsi="Times New Roman"/>
                <w:sz w:val="21"/>
                <w:szCs w:val="21"/>
              </w:rPr>
              <w:t>安全事故</w:t>
            </w:r>
          </w:p>
        </w:tc>
        <w:tc>
          <w:tcPr>
            <w:tcW w:w="5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r>
              <w:rPr>
                <w:rFonts w:ascii="Times New Roman" w:hAnsi="Times New Roman"/>
                <w:sz w:val="21"/>
                <w:szCs w:val="21"/>
              </w:rPr>
              <w:t>泄漏</w:t>
            </w:r>
          </w:p>
        </w:tc>
        <w:tc>
          <w:tcPr>
            <w:tcW w:w="34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sz w:val="21"/>
                <w:szCs w:val="21"/>
              </w:rPr>
              <w:t>（1）油罐破裂或围堰损坏等事故，汽油柴油流出油站边界或流入雨水</w:t>
            </w:r>
            <w:r>
              <w:rPr>
                <w:rFonts w:hint="eastAsia" w:ascii="Times New Roman" w:hAnsi="Times New Roman"/>
                <w:sz w:val="21"/>
                <w:szCs w:val="21"/>
              </w:rPr>
              <w:t>沟</w:t>
            </w:r>
            <w:r>
              <w:rPr>
                <w:rFonts w:ascii="Times New Roman" w:hAnsi="Times New Roman"/>
                <w:sz w:val="21"/>
                <w:szCs w:val="21"/>
              </w:rPr>
              <w:t>，从雨水排口排出油站边界，进而污染土壤、地表水系。</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sz w:val="21"/>
                <w:szCs w:val="21"/>
              </w:rPr>
              <w:t>（2）废气扩散出油站边界污染大气。</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sz w:val="21"/>
                <w:szCs w:val="21"/>
              </w:rPr>
              <w:t>（3）废水泄漏污染土壤、地下水和地表水。</w:t>
            </w:r>
          </w:p>
        </w:tc>
        <w:tc>
          <w:tcPr>
            <w:tcW w:w="25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b/>
                <w:sz w:val="21"/>
                <w:szCs w:val="21"/>
              </w:rPr>
              <w:t>防控措施：</w:t>
            </w:r>
            <w:r>
              <w:rPr>
                <w:rFonts w:ascii="Times New Roman" w:hAnsi="Times New Roman"/>
                <w:sz w:val="21"/>
                <w:szCs w:val="21"/>
              </w:rPr>
              <w:t>制定岗位操作规程，阀门、法兰、管线接口处等易发生跑冒滴漏部位定期检查、维护，带压设备安装安全联锁装置，特种设备按期检测。保持车间、仓库通风良好。</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b/>
                <w:sz w:val="21"/>
                <w:szCs w:val="21"/>
              </w:rPr>
              <w:t>应急措施：</w:t>
            </w:r>
            <w:r>
              <w:rPr>
                <w:rFonts w:ascii="Times New Roman" w:hAnsi="Times New Roman"/>
                <w:sz w:val="21"/>
                <w:szCs w:val="21"/>
              </w:rPr>
              <w:t>立即停止现场作业控制泄漏量，设置围堤堵截泄漏物，流出油站外化学品投入中和剂中和，疏散周边人员减少大气污染。</w:t>
            </w:r>
          </w:p>
        </w:tc>
        <w:tc>
          <w:tcPr>
            <w:tcW w:w="10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sz w:val="21"/>
                <w:szCs w:val="21"/>
              </w:rPr>
            </w:pPr>
            <w:r>
              <w:rPr>
                <w:rFonts w:ascii="Times New Roman" w:hAnsi="Times New Roman"/>
                <w:sz w:val="21"/>
                <w:szCs w:val="21"/>
              </w:rPr>
              <w:t>引入应急池处理，沙土围堵，中和剂中和；大气采样仪和分析仪；水采样仪和分析仪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p>
        </w:tc>
        <w:tc>
          <w:tcPr>
            <w:tcW w:w="5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r>
              <w:rPr>
                <w:rFonts w:ascii="Times New Roman" w:hAnsi="Times New Roman"/>
                <w:sz w:val="21"/>
                <w:szCs w:val="21"/>
              </w:rPr>
              <w:t>火灾</w:t>
            </w:r>
          </w:p>
        </w:tc>
        <w:tc>
          <w:tcPr>
            <w:tcW w:w="34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sz w:val="21"/>
                <w:szCs w:val="21"/>
              </w:rPr>
              <w:t>（1）消防水流出油站边界或流入雨水</w:t>
            </w:r>
            <w:r>
              <w:rPr>
                <w:rFonts w:hint="eastAsia" w:ascii="Times New Roman" w:hAnsi="Times New Roman"/>
                <w:sz w:val="21"/>
                <w:szCs w:val="21"/>
              </w:rPr>
              <w:t>沟</w:t>
            </w:r>
            <w:r>
              <w:rPr>
                <w:rFonts w:ascii="Times New Roman" w:hAnsi="Times New Roman"/>
                <w:sz w:val="21"/>
                <w:szCs w:val="21"/>
              </w:rPr>
              <w:t>，从雨水排口排出油站边界，进而污染土壤和地表水系；</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sz w:val="21"/>
                <w:szCs w:val="21"/>
              </w:rPr>
              <w:t>（2）燃烧产生的有毒有害气体扩散出油站边界污染大气。</w:t>
            </w:r>
          </w:p>
        </w:tc>
        <w:tc>
          <w:tcPr>
            <w:tcW w:w="25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b/>
                <w:sz w:val="21"/>
                <w:szCs w:val="21"/>
              </w:rPr>
              <w:t>防控措施：</w:t>
            </w:r>
            <w:r>
              <w:rPr>
                <w:rFonts w:ascii="Times New Roman" w:hAnsi="Times New Roman"/>
                <w:sz w:val="21"/>
                <w:szCs w:val="21"/>
              </w:rPr>
              <w:t>加强排污管口监控，加强消防管理和人员培训。配备堵截物资。</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b/>
                <w:sz w:val="21"/>
                <w:szCs w:val="21"/>
              </w:rPr>
              <w:t>应急措施：</w:t>
            </w:r>
            <w:r>
              <w:rPr>
                <w:rFonts w:ascii="Times New Roman" w:hAnsi="Times New Roman"/>
                <w:sz w:val="21"/>
                <w:szCs w:val="21"/>
              </w:rPr>
              <w:t>设置围堤堵截泄漏物，流出油站外化学品投入中和剂中和，疏散周边人员减少大气污染。</w:t>
            </w:r>
          </w:p>
        </w:tc>
        <w:tc>
          <w:tcPr>
            <w:tcW w:w="10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sz w:val="21"/>
                <w:szCs w:val="21"/>
              </w:rPr>
            </w:pPr>
            <w:r>
              <w:rPr>
                <w:rFonts w:ascii="Times New Roman" w:hAnsi="Times New Roman"/>
                <w:sz w:val="21"/>
                <w:szCs w:val="21"/>
              </w:rPr>
              <w:t>沙土围堵，中和剂中和，大气采样仪和分析仪。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p>
        </w:tc>
        <w:tc>
          <w:tcPr>
            <w:tcW w:w="5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r>
              <w:rPr>
                <w:rFonts w:ascii="Times New Roman" w:hAnsi="Times New Roman"/>
                <w:sz w:val="21"/>
                <w:szCs w:val="21"/>
              </w:rPr>
              <w:t>爆炸</w:t>
            </w:r>
          </w:p>
        </w:tc>
        <w:tc>
          <w:tcPr>
            <w:tcW w:w="34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sz w:val="21"/>
                <w:szCs w:val="21"/>
              </w:rPr>
              <w:t>（1）爆炸后，化学物大量流出和救援中大量喷淋水流出油站边界或流入雨水</w:t>
            </w:r>
            <w:r>
              <w:rPr>
                <w:rFonts w:hint="eastAsia" w:ascii="Times New Roman" w:hAnsi="Times New Roman"/>
                <w:sz w:val="21"/>
                <w:szCs w:val="21"/>
              </w:rPr>
              <w:t>沟</w:t>
            </w:r>
            <w:r>
              <w:rPr>
                <w:rFonts w:ascii="Times New Roman" w:hAnsi="Times New Roman"/>
                <w:sz w:val="21"/>
                <w:szCs w:val="21"/>
              </w:rPr>
              <w:t>，从雨水排口排出油站边界，进而污染土壤和地表水系；</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sz w:val="21"/>
                <w:szCs w:val="21"/>
              </w:rPr>
              <w:t>（2）爆裂后，大量废气散发，扩散出油站边界污染大气。</w:t>
            </w:r>
          </w:p>
        </w:tc>
        <w:tc>
          <w:tcPr>
            <w:tcW w:w="25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b/>
                <w:sz w:val="21"/>
                <w:szCs w:val="21"/>
              </w:rPr>
            </w:pPr>
            <w:r>
              <w:rPr>
                <w:rFonts w:ascii="Times New Roman" w:hAnsi="Times New Roman"/>
                <w:b/>
                <w:sz w:val="21"/>
                <w:szCs w:val="21"/>
              </w:rPr>
              <w:t>防控措施：</w:t>
            </w:r>
            <w:r>
              <w:rPr>
                <w:rFonts w:ascii="Times New Roman" w:hAnsi="Times New Roman"/>
                <w:sz w:val="21"/>
                <w:szCs w:val="21"/>
              </w:rPr>
              <w:t>加强排污管口监控，加强消防管理和人员培训。提高救援能力。</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b/>
                <w:sz w:val="21"/>
                <w:szCs w:val="21"/>
              </w:rPr>
            </w:pPr>
            <w:r>
              <w:rPr>
                <w:rFonts w:ascii="Times New Roman" w:hAnsi="Times New Roman"/>
                <w:b/>
                <w:sz w:val="21"/>
                <w:szCs w:val="21"/>
              </w:rPr>
              <w:t>应急措施：</w:t>
            </w:r>
            <w:r>
              <w:rPr>
                <w:rFonts w:ascii="Times New Roman" w:hAnsi="Times New Roman"/>
                <w:sz w:val="21"/>
                <w:szCs w:val="21"/>
              </w:rPr>
              <w:t>设置围堤堵截泄漏物，流出油站外化学品投入中和剂中和，疏散周边人员减少大气污染。</w:t>
            </w:r>
          </w:p>
        </w:tc>
        <w:tc>
          <w:tcPr>
            <w:tcW w:w="10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sz w:val="21"/>
                <w:szCs w:val="21"/>
              </w:rPr>
            </w:pPr>
            <w:r>
              <w:rPr>
                <w:rFonts w:ascii="Times New Roman" w:hAnsi="Times New Roman"/>
                <w:sz w:val="21"/>
                <w:szCs w:val="21"/>
              </w:rPr>
              <w:t>沙土围堵，将废水引入应急池，中和剂中和，大气采样仪和分析仪。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r>
              <w:rPr>
                <w:rFonts w:ascii="Times New Roman" w:hAnsi="Times New Roman"/>
                <w:sz w:val="21"/>
                <w:szCs w:val="21"/>
              </w:rPr>
              <w:t>环境风险防控设备设施失灵或非正常操作</w:t>
            </w:r>
          </w:p>
        </w:tc>
        <w:tc>
          <w:tcPr>
            <w:tcW w:w="34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sz w:val="21"/>
                <w:szCs w:val="21"/>
              </w:rPr>
              <w:t>喷淋水、消防水流入雨水管网，由于雨水管道阀门不能正常关闭而排出油站边界，污染土壤和地表水系</w:t>
            </w:r>
            <w:r>
              <w:rPr>
                <w:rFonts w:hint="eastAsia" w:ascii="Times New Roman" w:hAnsi="Times New Roman"/>
                <w:sz w:val="21"/>
                <w:szCs w:val="21"/>
              </w:rPr>
              <w:t>。</w:t>
            </w:r>
          </w:p>
        </w:tc>
        <w:tc>
          <w:tcPr>
            <w:tcW w:w="25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b/>
                <w:sz w:val="21"/>
                <w:szCs w:val="21"/>
              </w:rPr>
              <w:t>防控措施：</w:t>
            </w:r>
            <w:r>
              <w:rPr>
                <w:rFonts w:ascii="Times New Roman" w:hAnsi="Times New Roman"/>
                <w:sz w:val="21"/>
                <w:szCs w:val="21"/>
              </w:rPr>
              <w:t>加强设备检修。配备堵截物资。</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b/>
                <w:sz w:val="21"/>
                <w:szCs w:val="21"/>
              </w:rPr>
              <w:t>应急措施：</w:t>
            </w:r>
            <w:r>
              <w:rPr>
                <w:rFonts w:ascii="Times New Roman" w:hAnsi="Times New Roman"/>
                <w:sz w:val="21"/>
                <w:szCs w:val="21"/>
              </w:rPr>
              <w:t>设置围堤堵截泄漏物，流出油站外化学品投入中和剂中和，疏散周边人员减少大气污染。</w:t>
            </w:r>
          </w:p>
        </w:tc>
        <w:tc>
          <w:tcPr>
            <w:tcW w:w="10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sz w:val="21"/>
                <w:szCs w:val="21"/>
              </w:rPr>
            </w:pPr>
            <w:r>
              <w:rPr>
                <w:rFonts w:ascii="Times New Roman" w:hAnsi="Times New Roman"/>
                <w:sz w:val="21"/>
                <w:szCs w:val="21"/>
              </w:rPr>
              <w:t>沙土围堵，中和剂中和，大气采样仪和分析仪。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r>
              <w:rPr>
                <w:rFonts w:ascii="Times New Roman" w:hAnsi="Times New Roman"/>
                <w:sz w:val="21"/>
                <w:szCs w:val="21"/>
              </w:rPr>
              <w:t>非正常工况</w:t>
            </w:r>
          </w:p>
        </w:tc>
        <w:tc>
          <w:tcPr>
            <w:tcW w:w="34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sz w:val="21"/>
                <w:szCs w:val="21"/>
              </w:rPr>
              <w:t>（1）更换或修复管路系统零部件和设备维修前准备工作不充分，相关管道、阀门、清洗不彻底，或未按操作规程抽堵盲板，导致泄漏事故，可能引发油站外环境污染事件；</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sz w:val="21"/>
                <w:szCs w:val="21"/>
              </w:rPr>
              <w:t>（2）违规动火作业，发生火灾事故，可能次生油站外环境污染事件。</w:t>
            </w:r>
          </w:p>
        </w:tc>
        <w:tc>
          <w:tcPr>
            <w:tcW w:w="25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b/>
                <w:sz w:val="21"/>
                <w:szCs w:val="21"/>
              </w:rPr>
              <w:t>防控措施：</w:t>
            </w:r>
            <w:r>
              <w:rPr>
                <w:rFonts w:ascii="Times New Roman" w:hAnsi="Times New Roman"/>
                <w:sz w:val="21"/>
                <w:szCs w:val="21"/>
              </w:rPr>
              <w:t>加强安全检查，设备检修，维修现场配备灭火器材和堵截物资。加强操作技能培训。</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b/>
                <w:sz w:val="21"/>
                <w:szCs w:val="21"/>
              </w:rPr>
              <w:t>应急措施：</w:t>
            </w:r>
            <w:r>
              <w:rPr>
                <w:rFonts w:ascii="Times New Roman" w:hAnsi="Times New Roman"/>
                <w:sz w:val="21"/>
                <w:szCs w:val="21"/>
              </w:rPr>
              <w:t>立即停止现场作业控制泄漏量，设置围堤堵截泄漏物，流出油站外化学品投入中和剂中和，疏散周边人员减少大气污染。</w:t>
            </w:r>
          </w:p>
        </w:tc>
        <w:tc>
          <w:tcPr>
            <w:tcW w:w="10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sz w:val="21"/>
                <w:szCs w:val="21"/>
              </w:rPr>
            </w:pPr>
            <w:r>
              <w:rPr>
                <w:rFonts w:ascii="Times New Roman" w:hAnsi="Times New Roman"/>
                <w:sz w:val="21"/>
                <w:szCs w:val="21"/>
              </w:rPr>
              <w:t>加强操作技能培训。制定检修方案。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r>
              <w:rPr>
                <w:rFonts w:ascii="Times New Roman" w:hAnsi="Times New Roman"/>
                <w:sz w:val="21"/>
                <w:szCs w:val="21"/>
              </w:rPr>
              <w:t>污染治理设施非正常运行</w:t>
            </w:r>
          </w:p>
        </w:tc>
        <w:tc>
          <w:tcPr>
            <w:tcW w:w="34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sz w:val="21"/>
                <w:szCs w:val="21"/>
              </w:rPr>
              <w:t>（1）废气处理装置不正常，废气扩散油站外，次生大气污染事件。</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sz w:val="21"/>
                <w:szCs w:val="21"/>
              </w:rPr>
              <w:t>（2）无法关闭排水阀门或未进行有效封堵，事故废水污染油站外水环境；</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sz w:val="21"/>
                <w:szCs w:val="21"/>
              </w:rPr>
              <w:t>（3）未将事故废水引入收集池，或废水导液沟和输送管道堵塞，废水流淌出油站边界，污染油站外土壤和水体；</w:t>
            </w:r>
          </w:p>
        </w:tc>
        <w:tc>
          <w:tcPr>
            <w:tcW w:w="25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b/>
                <w:sz w:val="21"/>
                <w:szCs w:val="21"/>
              </w:rPr>
            </w:pPr>
            <w:r>
              <w:rPr>
                <w:rFonts w:ascii="Times New Roman" w:hAnsi="Times New Roman"/>
                <w:b/>
                <w:sz w:val="21"/>
                <w:szCs w:val="21"/>
              </w:rPr>
              <w:t>防控措施：</w:t>
            </w:r>
            <w:r>
              <w:rPr>
                <w:rFonts w:ascii="Times New Roman" w:hAnsi="Times New Roman"/>
                <w:sz w:val="21"/>
                <w:szCs w:val="21"/>
              </w:rPr>
              <w:t>加强安全检查，设备检修，确保设备完好。</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b/>
                <w:sz w:val="21"/>
                <w:szCs w:val="21"/>
              </w:rPr>
              <w:t>应急措施：</w:t>
            </w:r>
            <w:r>
              <w:rPr>
                <w:rFonts w:ascii="Times New Roman" w:hAnsi="Times New Roman"/>
                <w:sz w:val="21"/>
                <w:szCs w:val="21"/>
              </w:rPr>
              <w:t>立即停止现场作业控制泄漏量，设置围堤堵截泄漏物，流出油站外化学品投入中和剂中和，疏散周边人员减少大气污染。</w:t>
            </w:r>
          </w:p>
        </w:tc>
        <w:tc>
          <w:tcPr>
            <w:tcW w:w="10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sz w:val="21"/>
                <w:szCs w:val="21"/>
              </w:rPr>
            </w:pPr>
            <w:r>
              <w:rPr>
                <w:rFonts w:ascii="Times New Roman" w:hAnsi="Times New Roman"/>
                <w:sz w:val="21"/>
                <w:szCs w:val="21"/>
              </w:rPr>
              <w:t>安全检查，设备检修落实到人。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r>
              <w:rPr>
                <w:rFonts w:ascii="Times New Roman" w:hAnsi="Times New Roman"/>
                <w:sz w:val="21"/>
                <w:szCs w:val="21"/>
              </w:rPr>
              <w:t>违法排污</w:t>
            </w:r>
          </w:p>
        </w:tc>
        <w:tc>
          <w:tcPr>
            <w:tcW w:w="34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sz w:val="21"/>
                <w:szCs w:val="21"/>
              </w:rPr>
              <w:t>（1）事故发散的废气未进行处理，有机废气扩散，污染油站外大气；</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sz w:val="21"/>
                <w:szCs w:val="21"/>
              </w:rPr>
              <w:t>（2）未对事故废水进行收集和处理就将废水排入雨水</w:t>
            </w:r>
            <w:r>
              <w:rPr>
                <w:rFonts w:hint="eastAsia" w:ascii="Times New Roman" w:hAnsi="Times New Roman"/>
                <w:sz w:val="21"/>
                <w:szCs w:val="21"/>
              </w:rPr>
              <w:t>沟</w:t>
            </w:r>
            <w:r>
              <w:rPr>
                <w:rFonts w:ascii="Times New Roman" w:hAnsi="Times New Roman"/>
                <w:sz w:val="21"/>
                <w:szCs w:val="21"/>
              </w:rPr>
              <w:t>，流出油站边界，污染油站外土壤和水体；</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sz w:val="21"/>
                <w:szCs w:val="21"/>
              </w:rPr>
              <w:t>（3）事故废水收集和处理后，未进行检测确定是否达标就排放出油站边界，有可能污染油站外土壤和水体.</w:t>
            </w:r>
          </w:p>
        </w:tc>
        <w:tc>
          <w:tcPr>
            <w:tcW w:w="25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b/>
                <w:sz w:val="21"/>
                <w:szCs w:val="21"/>
              </w:rPr>
              <w:t>防控措施：</w:t>
            </w:r>
            <w:r>
              <w:rPr>
                <w:rFonts w:ascii="Times New Roman" w:hAnsi="Times New Roman"/>
                <w:sz w:val="21"/>
                <w:szCs w:val="21"/>
              </w:rPr>
              <w:t>制定污水处理设施管理制度，严格遵守操作规程。</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b/>
                <w:sz w:val="21"/>
                <w:szCs w:val="21"/>
              </w:rPr>
              <w:t>应急措施：</w:t>
            </w:r>
            <w:r>
              <w:rPr>
                <w:rFonts w:ascii="Times New Roman" w:hAnsi="Times New Roman"/>
                <w:sz w:val="21"/>
                <w:szCs w:val="21"/>
              </w:rPr>
              <w:t>立即停止现场作业控制泄漏量，设置围堤堵截泄漏物，流出油站外化学品投入中和剂中和，疏散周边人员减少大气污染。</w:t>
            </w:r>
          </w:p>
        </w:tc>
        <w:tc>
          <w:tcPr>
            <w:tcW w:w="10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sz w:val="21"/>
                <w:szCs w:val="21"/>
              </w:rPr>
            </w:pPr>
            <w:r>
              <w:rPr>
                <w:rFonts w:ascii="Times New Roman" w:hAnsi="Times New Roman"/>
                <w:sz w:val="21"/>
                <w:szCs w:val="21"/>
              </w:rPr>
              <w:t>加强岗位培训和管理，杜绝违规操作。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r>
              <w:rPr>
                <w:rFonts w:ascii="Times New Roman" w:hAnsi="Times New Roman"/>
                <w:sz w:val="21"/>
                <w:szCs w:val="21"/>
              </w:rPr>
              <w:t>停电、断水等公用工程事故</w:t>
            </w:r>
          </w:p>
        </w:tc>
        <w:tc>
          <w:tcPr>
            <w:tcW w:w="34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sz w:val="21"/>
                <w:szCs w:val="21"/>
              </w:rPr>
              <w:t>（1）发生泄漏、火灾等安全事故时如突发停电事故，现场应急救援的电动设备设施无法运行，使应急救援不能有效实施，事故未能及时控制，有可能次生油站外环境污染事件；</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sz w:val="21"/>
                <w:szCs w:val="21"/>
              </w:rPr>
              <w:t>（2）发生泄漏、火灾等安全事故应急救援时断水，不能进行灭火，事故蔓延，次生油站外环境污染事件。</w:t>
            </w:r>
          </w:p>
        </w:tc>
        <w:tc>
          <w:tcPr>
            <w:tcW w:w="25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b/>
                <w:sz w:val="21"/>
                <w:szCs w:val="21"/>
              </w:rPr>
              <w:t>防控措施：</w:t>
            </w:r>
            <w:r>
              <w:rPr>
                <w:rFonts w:ascii="Times New Roman" w:hAnsi="Times New Roman"/>
                <w:sz w:val="21"/>
                <w:szCs w:val="21"/>
              </w:rPr>
              <w:t>重要岗位配备二路用电装置，确保消防用水。</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b/>
                <w:sz w:val="21"/>
                <w:szCs w:val="21"/>
              </w:rPr>
              <w:t>应急措施：</w:t>
            </w:r>
            <w:r>
              <w:rPr>
                <w:rFonts w:ascii="Times New Roman" w:hAnsi="Times New Roman"/>
                <w:sz w:val="21"/>
                <w:szCs w:val="21"/>
              </w:rPr>
              <w:t>起用备用发电机发电供电，断水时尽可能采用现场灭火器进行灭火，组织现场人员有序撤离，减少人员伤亡，争取油站外救援力量应急救援。</w:t>
            </w:r>
          </w:p>
        </w:tc>
        <w:tc>
          <w:tcPr>
            <w:tcW w:w="10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sz w:val="21"/>
                <w:szCs w:val="21"/>
              </w:rPr>
            </w:pPr>
            <w:r>
              <w:rPr>
                <w:rFonts w:ascii="Times New Roman" w:hAnsi="Times New Roman"/>
                <w:sz w:val="21"/>
                <w:szCs w:val="21"/>
              </w:rPr>
              <w:t>配备二路用电装置或备用发电机。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r>
              <w:rPr>
                <w:rFonts w:ascii="Times New Roman" w:hAnsi="Times New Roman"/>
                <w:sz w:val="21"/>
                <w:szCs w:val="21"/>
              </w:rPr>
              <w:t>通讯或运输系统故障</w:t>
            </w:r>
          </w:p>
        </w:tc>
        <w:tc>
          <w:tcPr>
            <w:tcW w:w="34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sz w:val="21"/>
                <w:szCs w:val="21"/>
              </w:rPr>
              <w:t>（1）发生事故时，通讯系统故障，无法通讯联络和向有关部门报告，延误应急救援，事故扩大，次生油站外环境污染事件；</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sz w:val="21"/>
                <w:szCs w:val="21"/>
              </w:rPr>
              <w:t>（2）发生事故时，企业内外道路受阻，救援队伍、设备设施、器材、物资无法及时到位，事故未能及时控制，次生油站外环境污染事件。</w:t>
            </w:r>
          </w:p>
        </w:tc>
        <w:tc>
          <w:tcPr>
            <w:tcW w:w="25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b/>
                <w:sz w:val="21"/>
                <w:szCs w:val="21"/>
              </w:rPr>
              <w:t>防控措施：</w:t>
            </w:r>
            <w:r>
              <w:rPr>
                <w:rFonts w:ascii="Times New Roman" w:hAnsi="Times New Roman"/>
                <w:sz w:val="21"/>
                <w:szCs w:val="21"/>
              </w:rPr>
              <w:t>加强通讯系统检查检修。</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b/>
                <w:sz w:val="21"/>
                <w:szCs w:val="21"/>
              </w:rPr>
              <w:t>应急措施：</w:t>
            </w:r>
            <w:r>
              <w:rPr>
                <w:rFonts w:ascii="Times New Roman" w:hAnsi="Times New Roman"/>
                <w:sz w:val="21"/>
                <w:szCs w:val="21"/>
              </w:rPr>
              <w:t>通讯系统故障，派员直接向有关部门报告，企业内外道路受阻，组织力量清除路障。</w:t>
            </w:r>
          </w:p>
        </w:tc>
        <w:tc>
          <w:tcPr>
            <w:tcW w:w="10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sz w:val="21"/>
                <w:szCs w:val="21"/>
              </w:rPr>
            </w:pPr>
            <w:r>
              <w:rPr>
                <w:rFonts w:ascii="Times New Roman" w:hAnsi="Times New Roman"/>
                <w:sz w:val="21"/>
                <w:szCs w:val="21"/>
              </w:rPr>
              <w:t>视频监控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r>
              <w:rPr>
                <w:rFonts w:ascii="Times New Roman" w:hAnsi="Times New Roman"/>
                <w:sz w:val="21"/>
                <w:szCs w:val="21"/>
              </w:rPr>
              <w:t>各种自然灾害、极端天气或不利气象条件</w:t>
            </w:r>
          </w:p>
        </w:tc>
        <w:tc>
          <w:tcPr>
            <w:tcW w:w="34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sz w:val="21"/>
                <w:szCs w:val="21"/>
              </w:rPr>
              <w:t>自然灾害、极端天气或不利气象条件，会引发安全事故，从而次生油站外环境污染事件。</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sz w:val="21"/>
                <w:szCs w:val="21"/>
              </w:rPr>
              <w:t>（1）发生地震，可能使输送管线断裂，发生泄漏事故，可次生油站外环境污染事件；</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sz w:val="21"/>
                <w:szCs w:val="21"/>
              </w:rPr>
              <w:t>（2）高处坠物，砸坏阀门和管线，泄漏，次生油站外环境污染事件；</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sz w:val="21"/>
                <w:szCs w:val="21"/>
              </w:rPr>
              <w:t>（</w:t>
            </w:r>
            <w:r>
              <w:rPr>
                <w:rFonts w:hint="eastAsia" w:ascii="Times New Roman" w:hAnsi="Times New Roman"/>
                <w:sz w:val="21"/>
                <w:szCs w:val="21"/>
              </w:rPr>
              <w:t>3</w:t>
            </w:r>
            <w:r>
              <w:rPr>
                <w:rFonts w:ascii="Times New Roman" w:hAnsi="Times New Roman"/>
                <w:sz w:val="21"/>
                <w:szCs w:val="21"/>
              </w:rPr>
              <w:t>）暴雨期间，发生泄漏，泄漏物溶入雨水，随雨水流入管网，次生油站外地表水体污染事件；</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sz w:val="21"/>
                <w:szCs w:val="21"/>
              </w:rPr>
              <w:t>（</w:t>
            </w:r>
            <w:r>
              <w:rPr>
                <w:rFonts w:hint="eastAsia" w:ascii="Times New Roman" w:hAnsi="Times New Roman"/>
                <w:sz w:val="21"/>
                <w:szCs w:val="21"/>
              </w:rPr>
              <w:t>4</w:t>
            </w:r>
            <w:r>
              <w:rPr>
                <w:rFonts w:ascii="Times New Roman" w:hAnsi="Times New Roman"/>
                <w:sz w:val="21"/>
                <w:szCs w:val="21"/>
              </w:rPr>
              <w:t>）洪涝期间，发生泄漏，泄漏物溶入洪水，随洪水流出油站边界，次生土壤和地表水体污染事件；</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sz w:val="21"/>
                <w:szCs w:val="21"/>
              </w:rPr>
              <w:t>（</w:t>
            </w:r>
            <w:r>
              <w:rPr>
                <w:rFonts w:hint="eastAsia" w:ascii="Times New Roman" w:hAnsi="Times New Roman"/>
                <w:sz w:val="21"/>
                <w:szCs w:val="21"/>
              </w:rPr>
              <w:t>5</w:t>
            </w:r>
            <w:r>
              <w:rPr>
                <w:rFonts w:ascii="Times New Roman" w:hAnsi="Times New Roman"/>
                <w:sz w:val="21"/>
                <w:szCs w:val="21"/>
              </w:rPr>
              <w:t>）高温天气，管线爆裂，原料泄漏，易引发火灾，并次生油站外环境污染事件；</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sz w:val="21"/>
                <w:szCs w:val="21"/>
              </w:rPr>
              <w:t>（</w:t>
            </w:r>
            <w:r>
              <w:rPr>
                <w:rFonts w:hint="eastAsia" w:ascii="Times New Roman" w:hAnsi="Times New Roman"/>
                <w:sz w:val="21"/>
                <w:szCs w:val="21"/>
              </w:rPr>
              <w:t>6</w:t>
            </w:r>
            <w:r>
              <w:rPr>
                <w:rFonts w:ascii="Times New Roman" w:hAnsi="Times New Roman"/>
                <w:sz w:val="21"/>
                <w:szCs w:val="21"/>
              </w:rPr>
              <w:t>）严寒天气，管线保暖措施不到位，管线冻裂，原料泄漏，次生油站外环境污染事件。</w:t>
            </w:r>
          </w:p>
        </w:tc>
        <w:tc>
          <w:tcPr>
            <w:tcW w:w="25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b/>
                <w:sz w:val="21"/>
                <w:szCs w:val="21"/>
              </w:rPr>
              <w:t>防控措施：</w:t>
            </w:r>
            <w:r>
              <w:rPr>
                <w:rFonts w:ascii="Times New Roman" w:hAnsi="Times New Roman"/>
                <w:sz w:val="21"/>
                <w:szCs w:val="21"/>
              </w:rPr>
              <w:t>平时加强与相关单位的联系，清有关单位派员到油站培训相关知识，防控及应急措施等。</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r>
              <w:rPr>
                <w:rFonts w:ascii="Times New Roman" w:hAnsi="Times New Roman"/>
                <w:b/>
                <w:sz w:val="21"/>
                <w:szCs w:val="21"/>
              </w:rPr>
              <w:t>应急措施：</w:t>
            </w:r>
            <w:r>
              <w:rPr>
                <w:rFonts w:ascii="Times New Roman" w:hAnsi="Times New Roman"/>
                <w:sz w:val="21"/>
                <w:szCs w:val="21"/>
              </w:rPr>
              <w:t>坚持以人为本、安全第一，当发生因自然灾害、极端天气或不利气象条件，而引发安全事故，次生油站外环境污染事件时，组织无关人员迅速现场至安全区域，救援人员针对发生的安全事故或油站外环境污染事件的性质，有针对性的进行救援。</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sz w:val="21"/>
                <w:szCs w:val="21"/>
              </w:rPr>
            </w:pPr>
          </w:p>
        </w:tc>
        <w:tc>
          <w:tcPr>
            <w:tcW w:w="10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sz w:val="21"/>
                <w:szCs w:val="21"/>
              </w:rPr>
            </w:pPr>
            <w:r>
              <w:rPr>
                <w:rFonts w:ascii="Times New Roman" w:hAnsi="Times New Roman"/>
                <w:sz w:val="21"/>
                <w:szCs w:val="21"/>
              </w:rPr>
              <w:t>加强与相关单位的联系。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r>
              <w:rPr>
                <w:rFonts w:ascii="Times New Roman" w:hAnsi="Times New Roman"/>
                <w:sz w:val="21"/>
                <w:szCs w:val="21"/>
              </w:rPr>
              <w:t>其他可能的情景</w:t>
            </w:r>
          </w:p>
        </w:tc>
        <w:tc>
          <w:tcPr>
            <w:tcW w:w="34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sz w:val="21"/>
                <w:szCs w:val="21"/>
              </w:rPr>
            </w:pPr>
            <w:r>
              <w:rPr>
                <w:rFonts w:hint="eastAsia" w:ascii="Times New Roman" w:hAnsi="Times New Roman"/>
                <w:sz w:val="21"/>
                <w:szCs w:val="21"/>
              </w:rPr>
              <w:t>/</w:t>
            </w:r>
          </w:p>
        </w:tc>
        <w:tc>
          <w:tcPr>
            <w:tcW w:w="25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sz w:val="21"/>
                <w:szCs w:val="21"/>
              </w:rPr>
            </w:pPr>
            <w:r>
              <w:rPr>
                <w:rFonts w:hint="eastAsia" w:ascii="Times New Roman" w:hAnsi="Times New Roman"/>
                <w:sz w:val="21"/>
                <w:szCs w:val="21"/>
              </w:rPr>
              <w:t>/</w:t>
            </w:r>
          </w:p>
        </w:tc>
        <w:tc>
          <w:tcPr>
            <w:tcW w:w="10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sz w:val="21"/>
                <w:szCs w:val="21"/>
              </w:rPr>
            </w:pPr>
            <w:r>
              <w:rPr>
                <w:rFonts w:hint="eastAsia" w:ascii="Times New Roman" w:hAnsi="Times New Roman"/>
                <w:sz w:val="21"/>
                <w:szCs w:val="21"/>
              </w:rPr>
              <w:t>/</w:t>
            </w:r>
          </w:p>
        </w:tc>
      </w:tr>
    </w:tbl>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p>
    <w:p>
      <w:pPr>
        <w:pStyle w:val="21"/>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outlineLvl w:val="0"/>
        <w:rPr>
          <w:rFonts w:hint="default" w:ascii="Times New Roman" w:hAnsi="Times New Roman" w:eastAsia="宋体" w:cs="Times New Roman"/>
          <w:sz w:val="30"/>
          <w:szCs w:val="30"/>
        </w:rPr>
      </w:pPr>
      <w:bookmarkStart w:id="77" w:name="_Toc32124"/>
      <w:r>
        <w:rPr>
          <w:rFonts w:hint="eastAsia" w:eastAsia="宋体" w:cs="Times New Roman"/>
          <w:sz w:val="30"/>
          <w:szCs w:val="30"/>
          <w:lang w:val="en-US" w:eastAsia="zh-CN"/>
        </w:rPr>
        <w:t>4</w:t>
      </w:r>
      <w:r>
        <w:rPr>
          <w:rFonts w:hint="default" w:ascii="Times New Roman" w:hAnsi="Times New Roman" w:eastAsia="宋体" w:cs="Times New Roman"/>
          <w:sz w:val="30"/>
          <w:szCs w:val="30"/>
        </w:rPr>
        <w:t>.</w:t>
      </w:r>
      <w:r>
        <w:rPr>
          <w:rFonts w:hint="eastAsia" w:ascii="Times New Roman" w:hAnsi="Times New Roman" w:eastAsia="宋体" w:cs="Times New Roman"/>
          <w:sz w:val="30"/>
          <w:szCs w:val="30"/>
          <w:lang w:val="en-US" w:eastAsia="zh-CN"/>
        </w:rPr>
        <w:t>5每种情景可能产生的直接、次生和衍生后果分析</w:t>
      </w:r>
      <w:bookmarkEnd w:id="77"/>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rPr>
      </w:pPr>
      <w:r>
        <w:rPr>
          <w:rFonts w:hint="eastAsia"/>
          <w:b/>
          <w:bCs/>
          <w:sz w:val="21"/>
          <w:szCs w:val="21"/>
        </w:rPr>
        <w:t>表4</w:t>
      </w:r>
      <w:r>
        <w:rPr>
          <w:rFonts w:hint="eastAsia"/>
          <w:b/>
          <w:bCs/>
          <w:sz w:val="21"/>
          <w:szCs w:val="21"/>
          <w:lang w:val="en-US" w:eastAsia="zh-CN"/>
        </w:rPr>
        <w:t>.5</w:t>
      </w:r>
      <w:r>
        <w:rPr>
          <w:rFonts w:hint="eastAsia"/>
          <w:b/>
          <w:bCs/>
          <w:sz w:val="21"/>
          <w:szCs w:val="21"/>
        </w:rPr>
        <w:t>-</w:t>
      </w:r>
      <w:r>
        <w:rPr>
          <w:rFonts w:hint="eastAsia"/>
          <w:b/>
          <w:bCs/>
          <w:sz w:val="21"/>
          <w:szCs w:val="21"/>
          <w:lang w:val="en-US" w:eastAsia="zh-CN"/>
        </w:rPr>
        <w:t>1</w:t>
      </w:r>
      <w:r>
        <w:rPr>
          <w:rFonts w:hint="eastAsia"/>
          <w:b/>
          <w:bCs/>
          <w:sz w:val="21"/>
          <w:szCs w:val="21"/>
        </w:rPr>
        <w:t xml:space="preserve">  每种情景分析可能产生的直接、次生和衍生后果分析表</w:t>
      </w:r>
    </w:p>
    <w:tbl>
      <w:tblPr>
        <w:tblStyle w:val="15"/>
        <w:tblW w:w="8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750"/>
        <w:gridCol w:w="2687"/>
        <w:gridCol w:w="1337"/>
        <w:gridCol w:w="1367"/>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99" w:type="dxa"/>
            <w:gridSpan w:val="2"/>
            <w:tcBorders>
              <w:top w:val="single" w:color="auto" w:sz="12" w:space="0"/>
              <w:lef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b/>
                <w:szCs w:val="21"/>
              </w:rPr>
            </w:pPr>
            <w:r>
              <w:rPr>
                <w:rFonts w:ascii="Times New Roman" w:hAnsi="Times New Roman"/>
                <w:b/>
                <w:szCs w:val="21"/>
              </w:rPr>
              <w:t>环境事件原因</w:t>
            </w:r>
          </w:p>
        </w:tc>
        <w:tc>
          <w:tcPr>
            <w:tcW w:w="2687" w:type="dxa"/>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b/>
                <w:szCs w:val="21"/>
              </w:rPr>
            </w:pPr>
            <w:r>
              <w:rPr>
                <w:rFonts w:ascii="Times New Roman" w:hAnsi="Times New Roman"/>
                <w:b/>
                <w:szCs w:val="21"/>
              </w:rPr>
              <w:t>风险物质释放途径</w:t>
            </w:r>
          </w:p>
        </w:tc>
        <w:tc>
          <w:tcPr>
            <w:tcW w:w="1337" w:type="dxa"/>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b/>
                <w:szCs w:val="21"/>
              </w:rPr>
            </w:pPr>
            <w:r>
              <w:rPr>
                <w:rFonts w:ascii="Times New Roman" w:hAnsi="Times New Roman"/>
                <w:b/>
                <w:szCs w:val="21"/>
              </w:rPr>
              <w:t>直接后果</w:t>
            </w:r>
          </w:p>
        </w:tc>
        <w:tc>
          <w:tcPr>
            <w:tcW w:w="1367" w:type="dxa"/>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b/>
                <w:szCs w:val="21"/>
              </w:rPr>
            </w:pPr>
            <w:r>
              <w:rPr>
                <w:rFonts w:ascii="Times New Roman" w:hAnsi="Times New Roman"/>
                <w:b/>
                <w:szCs w:val="21"/>
              </w:rPr>
              <w:t>次生后果</w:t>
            </w:r>
          </w:p>
        </w:tc>
        <w:tc>
          <w:tcPr>
            <w:tcW w:w="1367" w:type="dxa"/>
            <w:tcBorders>
              <w:top w:val="single" w:color="auto" w:sz="12" w:space="0"/>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b/>
                <w:szCs w:val="21"/>
              </w:rPr>
            </w:pPr>
            <w:r>
              <w:rPr>
                <w:rFonts w:ascii="Times New Roman" w:hAnsi="Times New Roman"/>
                <w:b/>
                <w:szCs w:val="21"/>
              </w:rPr>
              <w:t>衍生后果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49" w:type="dxa"/>
            <w:vMerge w:val="restart"/>
            <w:tcBorders>
              <w:left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ascii="Times New Roman" w:hAnsi="Times New Roman"/>
                <w:szCs w:val="21"/>
              </w:rPr>
            </w:pPr>
            <w:r>
              <w:rPr>
                <w:rFonts w:ascii="Times New Roman" w:hAnsi="Times New Roman"/>
                <w:szCs w:val="21"/>
              </w:rPr>
              <w:t>安全事故</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szCs w:val="21"/>
              </w:rPr>
            </w:pPr>
            <w:r>
              <w:rPr>
                <w:rFonts w:ascii="Times New Roman" w:hAnsi="Times New Roman"/>
                <w:szCs w:val="21"/>
              </w:rPr>
              <w:t>泄漏</w:t>
            </w:r>
          </w:p>
        </w:tc>
        <w:tc>
          <w:tcPr>
            <w:tcW w:w="2687" w:type="dxa"/>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（1）油罐破裂或围堰损坏等事故，汽油柴油流出油站边界或流入雨水</w:t>
            </w:r>
            <w:r>
              <w:rPr>
                <w:rFonts w:hint="eastAsia" w:ascii="Times New Roman" w:hAnsi="Times New Roman"/>
                <w:szCs w:val="21"/>
              </w:rPr>
              <w:t>沟</w:t>
            </w:r>
            <w:r>
              <w:rPr>
                <w:rFonts w:ascii="Times New Roman" w:hAnsi="Times New Roman"/>
                <w:szCs w:val="21"/>
              </w:rPr>
              <w:t>，从雨水排口排出油站边界，进而污染土壤、地表水系。</w:t>
            </w:r>
          </w:p>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（2）废气扩散出油站边界污染大气。</w:t>
            </w:r>
          </w:p>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（3）废水泄漏污染土壤、地下水和地表水。</w:t>
            </w:r>
          </w:p>
        </w:tc>
        <w:tc>
          <w:tcPr>
            <w:tcW w:w="1337" w:type="dxa"/>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化学品直接污染水源和土地。</w:t>
            </w:r>
          </w:p>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废气直接刺激人的眼、鼻呼吸系统。</w:t>
            </w:r>
          </w:p>
        </w:tc>
        <w:tc>
          <w:tcPr>
            <w:tcW w:w="1367" w:type="dxa"/>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使地下水产生严重异味，有较强的致畸形癌性，水无法饮用。废气致呼吸疾病。</w:t>
            </w:r>
          </w:p>
        </w:tc>
        <w:tc>
          <w:tcPr>
            <w:tcW w:w="1367"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使土壤层中吸附了大量的腐蚀性物质，造成植物生物死亡。废气致呼吸疾病。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49" w:type="dxa"/>
            <w:vMerge w:val="continue"/>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szCs w:val="21"/>
              </w:rPr>
            </w:pP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szCs w:val="21"/>
              </w:rPr>
            </w:pPr>
            <w:r>
              <w:rPr>
                <w:rFonts w:ascii="Times New Roman" w:hAnsi="Times New Roman"/>
                <w:szCs w:val="21"/>
              </w:rPr>
              <w:t>火灾</w:t>
            </w:r>
          </w:p>
        </w:tc>
        <w:tc>
          <w:tcPr>
            <w:tcW w:w="2687" w:type="dxa"/>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（1）消防水流出油站边界或流入雨水</w:t>
            </w:r>
            <w:r>
              <w:rPr>
                <w:rFonts w:hint="eastAsia" w:ascii="Times New Roman" w:hAnsi="Times New Roman"/>
                <w:szCs w:val="21"/>
              </w:rPr>
              <w:t>沟</w:t>
            </w:r>
            <w:r>
              <w:rPr>
                <w:rFonts w:ascii="Times New Roman" w:hAnsi="Times New Roman"/>
                <w:szCs w:val="21"/>
              </w:rPr>
              <w:t>，从雨水排口排出油站边界，进而污染土壤和地表水系；</w:t>
            </w:r>
          </w:p>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（2）燃烧产生的有毒有害气体扩散出油站边界污染大气。</w:t>
            </w:r>
          </w:p>
        </w:tc>
        <w:tc>
          <w:tcPr>
            <w:tcW w:w="1337" w:type="dxa"/>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污水直接污染水源和土地。</w:t>
            </w:r>
          </w:p>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废气直接刺激人的眼、鼻呼吸系统。</w:t>
            </w:r>
          </w:p>
        </w:tc>
        <w:tc>
          <w:tcPr>
            <w:tcW w:w="1367" w:type="dxa"/>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使地下水产生严重异味，有较强的致畸形癌性，水无法饮用。废气致呼吸疾病。</w:t>
            </w:r>
          </w:p>
        </w:tc>
        <w:tc>
          <w:tcPr>
            <w:tcW w:w="1367"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使土壤层中吸附了大量的腐蚀性物质，造成植物生物死亡。废气致呼吸疾病。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49" w:type="dxa"/>
            <w:vMerge w:val="continue"/>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szCs w:val="21"/>
              </w:rPr>
            </w:pP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szCs w:val="21"/>
              </w:rPr>
            </w:pPr>
            <w:r>
              <w:rPr>
                <w:rFonts w:ascii="Times New Roman" w:hAnsi="Times New Roman"/>
                <w:szCs w:val="21"/>
              </w:rPr>
              <w:t>爆炸</w:t>
            </w:r>
          </w:p>
        </w:tc>
        <w:tc>
          <w:tcPr>
            <w:tcW w:w="2687" w:type="dxa"/>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（1）爆炸后，化学物大量流出和救援中大量喷淋水流出油站边界或流入雨水</w:t>
            </w:r>
            <w:r>
              <w:rPr>
                <w:rFonts w:hint="eastAsia" w:ascii="Times New Roman" w:hAnsi="Times New Roman"/>
                <w:szCs w:val="21"/>
              </w:rPr>
              <w:t>沟</w:t>
            </w:r>
            <w:r>
              <w:rPr>
                <w:rFonts w:ascii="Times New Roman" w:hAnsi="Times New Roman"/>
                <w:szCs w:val="21"/>
              </w:rPr>
              <w:t>，从雨水排口排出油站边界，进而污染土壤和地表水系；</w:t>
            </w:r>
          </w:p>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（2）爆裂后，大量废气散发，扩散出油站边界污染大气。</w:t>
            </w:r>
          </w:p>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（3）爆炸后，大量消防废水扩散到土壤及水体环境中。</w:t>
            </w:r>
          </w:p>
        </w:tc>
        <w:tc>
          <w:tcPr>
            <w:tcW w:w="1337" w:type="dxa"/>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化学品和污水直接污染水源和土地。</w:t>
            </w:r>
          </w:p>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废气直接刺激人的眼、鼻呼吸系统。</w:t>
            </w:r>
          </w:p>
        </w:tc>
        <w:tc>
          <w:tcPr>
            <w:tcW w:w="1367" w:type="dxa"/>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使地下水产生严重异味，有较强的致畸形癌性，水无法饮用。废气致呼吸疾病。</w:t>
            </w:r>
          </w:p>
        </w:tc>
        <w:tc>
          <w:tcPr>
            <w:tcW w:w="1367"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使土壤层中吸附了大量的腐蚀性物质，造成植物生物死亡。废气致呼吸疾病。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99" w:type="dxa"/>
            <w:gridSpan w:val="2"/>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szCs w:val="21"/>
              </w:rPr>
            </w:pPr>
            <w:r>
              <w:rPr>
                <w:rFonts w:ascii="Times New Roman" w:hAnsi="Times New Roman"/>
                <w:szCs w:val="21"/>
              </w:rPr>
              <w:t>环境风险防控设备设施失灵或非正常操作</w:t>
            </w:r>
          </w:p>
        </w:tc>
        <w:tc>
          <w:tcPr>
            <w:tcW w:w="2687" w:type="dxa"/>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喷淋水、消防水流入雨水管网，由于雨水管道阀门不能正常关闭而排出油站边界，污染土壤和地表水系</w:t>
            </w:r>
            <w:r>
              <w:rPr>
                <w:rFonts w:hint="eastAsia" w:ascii="Times New Roman" w:hAnsi="Times New Roman"/>
                <w:szCs w:val="21"/>
              </w:rPr>
              <w:t>。</w:t>
            </w:r>
          </w:p>
        </w:tc>
        <w:tc>
          <w:tcPr>
            <w:tcW w:w="1337" w:type="dxa"/>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化学品和污水直接污染水源和土地。</w:t>
            </w:r>
          </w:p>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废气直接刺激人的眼、鼻呼吸系统。</w:t>
            </w:r>
          </w:p>
        </w:tc>
        <w:tc>
          <w:tcPr>
            <w:tcW w:w="1367" w:type="dxa"/>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使地下水产生严重异味，有较强的致畸形癌性，水无法</w:t>
            </w:r>
          </w:p>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饮用。废气致呼吸疾病。</w:t>
            </w:r>
          </w:p>
        </w:tc>
        <w:tc>
          <w:tcPr>
            <w:tcW w:w="1367"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使土壤层中吸附了大量的腐蚀性物质，造成植物生物死亡。废气致呼吸疾病。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99" w:type="dxa"/>
            <w:gridSpan w:val="2"/>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szCs w:val="21"/>
              </w:rPr>
            </w:pPr>
            <w:r>
              <w:rPr>
                <w:rFonts w:ascii="Times New Roman" w:hAnsi="Times New Roman"/>
                <w:szCs w:val="21"/>
              </w:rPr>
              <w:t>非正常工况</w:t>
            </w:r>
          </w:p>
        </w:tc>
        <w:tc>
          <w:tcPr>
            <w:tcW w:w="2687" w:type="dxa"/>
            <w:noWrap w:val="0"/>
            <w:vAlign w:val="top"/>
          </w:tcPr>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（1）更换或修复管路系统零部件和设备维修前准备工作不充分，相关管道、阀门、清洗不彻底，或未按操作规程抽堵盲板，导致泄漏事故，可能引发油站外环境污染事件；</w:t>
            </w:r>
          </w:p>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（2）违规动火作业，发生火灾事故，可能次生油站外环境污染事件。</w:t>
            </w:r>
          </w:p>
        </w:tc>
        <w:tc>
          <w:tcPr>
            <w:tcW w:w="1337" w:type="dxa"/>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造成地表河流污染，受污染的土地或水源迅速遭到破坏。</w:t>
            </w:r>
          </w:p>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废气使人呼吸系统受损。</w:t>
            </w:r>
          </w:p>
        </w:tc>
        <w:tc>
          <w:tcPr>
            <w:tcW w:w="1367" w:type="dxa"/>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使地下水产生严重异味，有较强的致畸形癌性，水无法饮用。</w:t>
            </w:r>
          </w:p>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废气致呼吸疾病。</w:t>
            </w:r>
          </w:p>
        </w:tc>
        <w:tc>
          <w:tcPr>
            <w:tcW w:w="1367"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使土壤层中吸附了大量的腐蚀性物质，造成植物生物死亡。废气致呼吸疾病。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99" w:type="dxa"/>
            <w:gridSpan w:val="2"/>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szCs w:val="21"/>
              </w:rPr>
            </w:pPr>
            <w:r>
              <w:rPr>
                <w:rFonts w:ascii="Times New Roman" w:hAnsi="Times New Roman"/>
                <w:szCs w:val="21"/>
              </w:rPr>
              <w:t>污染治理设</w:t>
            </w:r>
          </w:p>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szCs w:val="21"/>
              </w:rPr>
            </w:pPr>
            <w:r>
              <w:rPr>
                <w:rFonts w:ascii="Times New Roman" w:hAnsi="Times New Roman"/>
                <w:szCs w:val="21"/>
              </w:rPr>
              <w:t>施非正常运行</w:t>
            </w:r>
          </w:p>
        </w:tc>
        <w:tc>
          <w:tcPr>
            <w:tcW w:w="2687" w:type="dxa"/>
            <w:noWrap w:val="0"/>
            <w:vAlign w:val="top"/>
          </w:tcPr>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（1）废气处理装置不正常，废气扩散油站外，次生大气污染事件。</w:t>
            </w:r>
          </w:p>
          <w:p>
            <w:pPr>
              <w:keepNext w:val="0"/>
              <w:keepLines w:val="0"/>
              <w:pageBreakBefore w:val="0"/>
              <w:widowControl w:val="0"/>
              <w:kinsoku/>
              <w:wordWrap/>
              <w:overflowPunct/>
              <w:topLinePunct w:val="0"/>
              <w:autoSpaceDE/>
              <w:autoSpaceDN/>
              <w:bidi w:val="0"/>
              <w:adjustRightInd/>
              <w:snapToGrid/>
              <w:spacing w:line="236" w:lineRule="exact"/>
              <w:jc w:val="both"/>
              <w:textAlignment w:val="auto"/>
              <w:rPr>
                <w:rFonts w:ascii="Times New Roman" w:hAnsi="Times New Roman"/>
                <w:szCs w:val="21"/>
              </w:rPr>
            </w:pPr>
            <w:r>
              <w:rPr>
                <w:rFonts w:ascii="Times New Roman" w:hAnsi="Times New Roman"/>
                <w:szCs w:val="21"/>
              </w:rPr>
              <w:t>（2）无法关闭排水阀门或未进行有效封堵，事故废水污染油站外水环境；</w:t>
            </w:r>
          </w:p>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（3）未将事故废水引入收集池，或废水导液沟和输送管道堵塞，废水流淌出油站边界，污染油站外土壤和水体；</w:t>
            </w:r>
          </w:p>
        </w:tc>
        <w:tc>
          <w:tcPr>
            <w:tcW w:w="1337" w:type="dxa"/>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造成地表河流污染，受污染的土地或水源迅速遭到破坏。</w:t>
            </w:r>
          </w:p>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废气使人呼吸系统受损。</w:t>
            </w:r>
          </w:p>
        </w:tc>
        <w:tc>
          <w:tcPr>
            <w:tcW w:w="1367" w:type="dxa"/>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使地下水产生严重异味，有较强的致畸形癌性，水无法饮用。</w:t>
            </w:r>
          </w:p>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废气致呼吸疾病。</w:t>
            </w:r>
          </w:p>
        </w:tc>
        <w:tc>
          <w:tcPr>
            <w:tcW w:w="1367"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使土壤层中吸附了大量的腐蚀性物质，造成植物生物死亡。废气致呼吸疾病。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99" w:type="dxa"/>
            <w:gridSpan w:val="2"/>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szCs w:val="21"/>
              </w:rPr>
            </w:pPr>
            <w:r>
              <w:rPr>
                <w:rFonts w:ascii="Times New Roman" w:hAnsi="Times New Roman"/>
                <w:szCs w:val="21"/>
              </w:rPr>
              <w:t>违法排污</w:t>
            </w:r>
          </w:p>
        </w:tc>
        <w:tc>
          <w:tcPr>
            <w:tcW w:w="2687" w:type="dxa"/>
            <w:noWrap w:val="0"/>
            <w:vAlign w:val="top"/>
          </w:tcPr>
          <w:p>
            <w:pPr>
              <w:keepNext w:val="0"/>
              <w:keepLines w:val="0"/>
              <w:pageBreakBefore w:val="0"/>
              <w:widowControl w:val="0"/>
              <w:kinsoku/>
              <w:wordWrap/>
              <w:overflowPunct/>
              <w:topLinePunct w:val="0"/>
              <w:autoSpaceDE/>
              <w:autoSpaceDN/>
              <w:bidi w:val="0"/>
              <w:adjustRightInd/>
              <w:snapToGrid/>
              <w:spacing w:line="236" w:lineRule="exact"/>
              <w:jc w:val="both"/>
              <w:textAlignment w:val="auto"/>
              <w:rPr>
                <w:rFonts w:ascii="Times New Roman" w:hAnsi="Times New Roman"/>
                <w:szCs w:val="21"/>
              </w:rPr>
            </w:pPr>
            <w:r>
              <w:rPr>
                <w:rFonts w:ascii="Times New Roman" w:hAnsi="Times New Roman"/>
                <w:szCs w:val="21"/>
              </w:rPr>
              <w:t>（1）事故发散的废气未进行处理，有机废气扩散，污染油站外大气；</w:t>
            </w:r>
          </w:p>
          <w:p>
            <w:pPr>
              <w:keepNext w:val="0"/>
              <w:keepLines w:val="0"/>
              <w:pageBreakBefore w:val="0"/>
              <w:widowControl w:val="0"/>
              <w:kinsoku/>
              <w:wordWrap/>
              <w:overflowPunct/>
              <w:topLinePunct w:val="0"/>
              <w:autoSpaceDE/>
              <w:autoSpaceDN/>
              <w:bidi w:val="0"/>
              <w:adjustRightInd/>
              <w:snapToGrid/>
              <w:spacing w:line="236" w:lineRule="exact"/>
              <w:jc w:val="both"/>
              <w:textAlignment w:val="auto"/>
              <w:rPr>
                <w:rFonts w:ascii="Times New Roman" w:hAnsi="Times New Roman"/>
                <w:szCs w:val="21"/>
              </w:rPr>
            </w:pPr>
            <w:r>
              <w:rPr>
                <w:rFonts w:ascii="Times New Roman" w:hAnsi="Times New Roman"/>
                <w:szCs w:val="21"/>
              </w:rPr>
              <w:t>（2）未对事故废水进行收集和处理就将废水排入雨水管网，流出油站边界，污染油站外土壤和水体；</w:t>
            </w:r>
          </w:p>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（3）事故废水收集和处理后，未进行检测确定是否达标就排放出油站边界，有可能污染油站外土壤和水体.</w:t>
            </w:r>
          </w:p>
        </w:tc>
        <w:tc>
          <w:tcPr>
            <w:tcW w:w="1337" w:type="dxa"/>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造成地表河流污染，受污染的土地或水源迅速遭到破坏。</w:t>
            </w:r>
          </w:p>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废气使人呼吸系统受损。</w:t>
            </w:r>
          </w:p>
        </w:tc>
        <w:tc>
          <w:tcPr>
            <w:tcW w:w="1367" w:type="dxa"/>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使地下水产生严重异味，有较强的致畸形癌性，水无法饮用。</w:t>
            </w:r>
          </w:p>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废气致呼吸疾病。</w:t>
            </w:r>
          </w:p>
        </w:tc>
        <w:tc>
          <w:tcPr>
            <w:tcW w:w="1367"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使土壤层中吸附了大量的腐蚀性物质，造成植物生物死亡。废气致呼吸疾病。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99" w:type="dxa"/>
            <w:gridSpan w:val="2"/>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szCs w:val="21"/>
              </w:rPr>
            </w:pPr>
            <w:r>
              <w:rPr>
                <w:rFonts w:ascii="Times New Roman" w:hAnsi="Times New Roman"/>
                <w:szCs w:val="21"/>
              </w:rPr>
              <w:t>停电、断水等</w:t>
            </w:r>
          </w:p>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szCs w:val="21"/>
              </w:rPr>
            </w:pPr>
            <w:r>
              <w:rPr>
                <w:rFonts w:ascii="Times New Roman" w:hAnsi="Times New Roman"/>
                <w:szCs w:val="21"/>
              </w:rPr>
              <w:t>公用工程事故</w:t>
            </w:r>
          </w:p>
        </w:tc>
        <w:tc>
          <w:tcPr>
            <w:tcW w:w="2687" w:type="dxa"/>
            <w:noWrap w:val="0"/>
            <w:vAlign w:val="top"/>
          </w:tcPr>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（1）发生泄漏、火灾等安全事故时如突发停电事故，现场应急救援的电动设备设施无法运行，使应急救援不能有效实施，事故未能及时控制，有可能次生油站外环境污染事件；</w:t>
            </w:r>
          </w:p>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（2）发生泄漏、火灾等安全事故应急救援时断水，不能进行灭火，事故蔓延，次生油站外环境污染事件。</w:t>
            </w:r>
          </w:p>
        </w:tc>
        <w:tc>
          <w:tcPr>
            <w:tcW w:w="1337" w:type="dxa"/>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泄漏造成地表河流污染，受污染的土地或水源迅速遭到破坏。</w:t>
            </w:r>
          </w:p>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火灾将造成相邻房屋受损。</w:t>
            </w:r>
          </w:p>
        </w:tc>
        <w:tc>
          <w:tcPr>
            <w:tcW w:w="1367" w:type="dxa"/>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泄漏造成水体严重异味，有较强的致畸形癌性，水无法饮用。</w:t>
            </w:r>
          </w:p>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火灾将造成相邻房屋受损。</w:t>
            </w:r>
          </w:p>
        </w:tc>
        <w:tc>
          <w:tcPr>
            <w:tcW w:w="1367"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使土壤层中吸附了大量的腐蚀性物质，造成植物生物死亡。</w:t>
            </w:r>
          </w:p>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火灾将造成相邻房屋受损。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99" w:type="dxa"/>
            <w:gridSpan w:val="2"/>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szCs w:val="21"/>
              </w:rPr>
            </w:pPr>
            <w:r>
              <w:rPr>
                <w:rFonts w:ascii="Times New Roman" w:hAnsi="Times New Roman"/>
                <w:szCs w:val="21"/>
              </w:rPr>
              <w:t>通讯或运输</w:t>
            </w:r>
          </w:p>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szCs w:val="21"/>
              </w:rPr>
            </w:pPr>
            <w:r>
              <w:rPr>
                <w:rFonts w:ascii="Times New Roman" w:hAnsi="Times New Roman"/>
                <w:szCs w:val="21"/>
              </w:rPr>
              <w:t>系统故障</w:t>
            </w:r>
          </w:p>
        </w:tc>
        <w:tc>
          <w:tcPr>
            <w:tcW w:w="2687" w:type="dxa"/>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（1）发生事故时，通讯系统故障，无法通讯联络和向有关部门报告，延误应急救援，事故扩大，次生油站外环境污染事件；</w:t>
            </w:r>
          </w:p>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（2）发生事故时，企业内外道路受阻，救援队伍、设备设施、器材、物资无法及时到位，事故未能及时控制，次生油站外环境污染事件。</w:t>
            </w:r>
          </w:p>
        </w:tc>
        <w:tc>
          <w:tcPr>
            <w:tcW w:w="1337" w:type="dxa"/>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造成地表河流污染，受污染的土地或水源迅速遭到破坏。</w:t>
            </w:r>
          </w:p>
        </w:tc>
        <w:tc>
          <w:tcPr>
            <w:tcW w:w="1367" w:type="dxa"/>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使地下水产生严重异味，有较强的致畸形癌性，水无法饮用。</w:t>
            </w:r>
          </w:p>
        </w:tc>
        <w:tc>
          <w:tcPr>
            <w:tcW w:w="1367"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使土壤层中吸附了大量的腐蚀性物质，造成植物生物死亡。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99" w:type="dxa"/>
            <w:gridSpan w:val="2"/>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szCs w:val="21"/>
              </w:rPr>
            </w:pPr>
            <w:r>
              <w:rPr>
                <w:rFonts w:ascii="Times New Roman" w:hAnsi="Times New Roman"/>
                <w:szCs w:val="21"/>
              </w:rPr>
              <w:t>各种自然灾</w:t>
            </w:r>
          </w:p>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szCs w:val="21"/>
              </w:rPr>
            </w:pPr>
            <w:r>
              <w:rPr>
                <w:rFonts w:ascii="Times New Roman" w:hAnsi="Times New Roman"/>
                <w:szCs w:val="21"/>
              </w:rPr>
              <w:t>害、极端天气</w:t>
            </w:r>
          </w:p>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szCs w:val="21"/>
              </w:rPr>
            </w:pPr>
            <w:r>
              <w:rPr>
                <w:rFonts w:ascii="Times New Roman" w:hAnsi="Times New Roman"/>
                <w:szCs w:val="21"/>
              </w:rPr>
              <w:t>或不利气象条</w:t>
            </w:r>
          </w:p>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szCs w:val="21"/>
              </w:rPr>
            </w:pPr>
            <w:r>
              <w:rPr>
                <w:rFonts w:ascii="Times New Roman" w:hAnsi="Times New Roman"/>
                <w:szCs w:val="21"/>
              </w:rPr>
              <w:t>件</w:t>
            </w:r>
          </w:p>
        </w:tc>
        <w:tc>
          <w:tcPr>
            <w:tcW w:w="2687" w:type="dxa"/>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自然灾害、极端天气或不利气象条件，会引发安全事故，从而次生油站外环境污染事件。</w:t>
            </w:r>
          </w:p>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（1）发生地震，可能使输送管线断裂，发生泄漏事故，可次生油站外环境污染事件；</w:t>
            </w:r>
          </w:p>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（2）高处坠物，砸坏阀门和管线，泄漏，次生油站外环境污染事件；</w:t>
            </w:r>
          </w:p>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w:t>
            </w:r>
            <w:r>
              <w:rPr>
                <w:rFonts w:hint="eastAsia" w:ascii="Times New Roman" w:hAnsi="Times New Roman"/>
                <w:szCs w:val="21"/>
              </w:rPr>
              <w:t>3</w:t>
            </w:r>
            <w:r>
              <w:rPr>
                <w:rFonts w:ascii="Times New Roman" w:hAnsi="Times New Roman"/>
                <w:szCs w:val="21"/>
              </w:rPr>
              <w:t>）暴雨期间，发生泄漏，泄漏物溶入雨水，随雨水流入管网，次生油站外地表水体污染事件；</w:t>
            </w:r>
          </w:p>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w:t>
            </w:r>
            <w:r>
              <w:rPr>
                <w:rFonts w:hint="eastAsia" w:ascii="Times New Roman" w:hAnsi="Times New Roman"/>
                <w:szCs w:val="21"/>
              </w:rPr>
              <w:t>4</w:t>
            </w:r>
            <w:r>
              <w:rPr>
                <w:rFonts w:ascii="Times New Roman" w:hAnsi="Times New Roman"/>
                <w:szCs w:val="21"/>
              </w:rPr>
              <w:t>）洪涝期间，发生泄漏，泄漏物溶入洪水，随洪水流出油站边界，次生土壤和地表水体污染事件；</w:t>
            </w:r>
          </w:p>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w:t>
            </w:r>
            <w:r>
              <w:rPr>
                <w:rFonts w:hint="eastAsia" w:ascii="Times New Roman" w:hAnsi="Times New Roman"/>
                <w:szCs w:val="21"/>
              </w:rPr>
              <w:t>5</w:t>
            </w:r>
            <w:r>
              <w:rPr>
                <w:rFonts w:ascii="Times New Roman" w:hAnsi="Times New Roman"/>
                <w:szCs w:val="21"/>
              </w:rPr>
              <w:t>）高温天气，管线爆裂，原料泄漏，易引发火灾，并次生油站外环境污染事件；</w:t>
            </w:r>
          </w:p>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w:t>
            </w:r>
            <w:r>
              <w:rPr>
                <w:rFonts w:hint="eastAsia" w:ascii="Times New Roman" w:hAnsi="Times New Roman"/>
                <w:szCs w:val="21"/>
              </w:rPr>
              <w:t>6</w:t>
            </w:r>
            <w:r>
              <w:rPr>
                <w:rFonts w:ascii="Times New Roman" w:hAnsi="Times New Roman"/>
                <w:szCs w:val="21"/>
              </w:rPr>
              <w:t>）严寒天气，管线保暖措施不到位，管线冻裂，原料泄漏，次生油站外环境污染事件。</w:t>
            </w:r>
          </w:p>
        </w:tc>
        <w:tc>
          <w:tcPr>
            <w:tcW w:w="1337" w:type="dxa"/>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发生暴雨、地震等自然灾害，可能造成污水处理站停电、无法正常运行，发生 污水溢出、泄漏等事件，造成污染事故。</w:t>
            </w:r>
          </w:p>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废气使人呼吸系统受损。火灾将造成相邻房屋受损。</w:t>
            </w:r>
          </w:p>
        </w:tc>
        <w:tc>
          <w:tcPr>
            <w:tcW w:w="1367" w:type="dxa"/>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污水污染使地下水产生严重异味，有较强的致畸形癌性，水无法饮用。废气致呼吸疾病。火灾将造成相邻房屋受损。</w:t>
            </w:r>
          </w:p>
        </w:tc>
        <w:tc>
          <w:tcPr>
            <w:tcW w:w="1367"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szCs w:val="21"/>
              </w:rPr>
            </w:pPr>
            <w:r>
              <w:rPr>
                <w:rFonts w:ascii="Times New Roman" w:hAnsi="Times New Roman"/>
                <w:szCs w:val="21"/>
              </w:rPr>
              <w:t>污水污染使土壤层中吸附了大量的腐蚀性物质，造成植物生物死亡。废气致呼吸疾病。火灾将造成相邻房屋受损。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99" w:type="dxa"/>
            <w:gridSpan w:val="2"/>
            <w:tcBorders>
              <w:left w:val="nil"/>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szCs w:val="21"/>
              </w:rPr>
            </w:pPr>
            <w:r>
              <w:rPr>
                <w:rFonts w:ascii="Times New Roman" w:hAnsi="Times New Roman"/>
                <w:szCs w:val="21"/>
              </w:rPr>
              <w:t>其他可能的情景</w:t>
            </w:r>
          </w:p>
        </w:tc>
        <w:tc>
          <w:tcPr>
            <w:tcW w:w="2687" w:type="dxa"/>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szCs w:val="21"/>
              </w:rPr>
            </w:pPr>
            <w:r>
              <w:rPr>
                <w:rFonts w:hint="eastAsia" w:ascii="Times New Roman" w:hAnsi="Times New Roman"/>
                <w:szCs w:val="21"/>
              </w:rPr>
              <w:t>/</w:t>
            </w:r>
          </w:p>
        </w:tc>
        <w:tc>
          <w:tcPr>
            <w:tcW w:w="1337" w:type="dxa"/>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szCs w:val="21"/>
              </w:rPr>
            </w:pPr>
            <w:r>
              <w:rPr>
                <w:rFonts w:hint="eastAsia" w:ascii="Times New Roman" w:hAnsi="Times New Roman"/>
                <w:szCs w:val="21"/>
              </w:rPr>
              <w:t>/</w:t>
            </w:r>
          </w:p>
        </w:tc>
        <w:tc>
          <w:tcPr>
            <w:tcW w:w="1367" w:type="dxa"/>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szCs w:val="21"/>
              </w:rPr>
            </w:pPr>
            <w:r>
              <w:rPr>
                <w:rFonts w:hint="eastAsia" w:ascii="Times New Roman" w:hAnsi="Times New Roman"/>
                <w:szCs w:val="21"/>
              </w:rPr>
              <w:t>/</w:t>
            </w:r>
          </w:p>
        </w:tc>
        <w:tc>
          <w:tcPr>
            <w:tcW w:w="1367" w:type="dxa"/>
            <w:tcBorders>
              <w:bottom w:val="single" w:color="auto" w:sz="12" w:space="0"/>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szCs w:val="21"/>
              </w:rPr>
            </w:pPr>
            <w:r>
              <w:rPr>
                <w:rFonts w:hint="eastAsia" w:ascii="Times New Roman" w:hAnsi="Times New Roman"/>
                <w:szCs w:val="21"/>
              </w:rPr>
              <w:t>/</w:t>
            </w:r>
          </w:p>
        </w:tc>
      </w:tr>
    </w:tbl>
    <w:p>
      <w:pPr>
        <w:pStyle w:val="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0"/>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sz w:val="32"/>
          <w:szCs w:val="32"/>
          <w:lang w:eastAsia="zh-CN"/>
        </w:rPr>
      </w:pPr>
      <w:bookmarkStart w:id="78" w:name="_Toc30890"/>
      <w:r>
        <w:rPr>
          <w:rFonts w:hint="eastAsia" w:eastAsia="宋体" w:cs="Times New Roman"/>
          <w:b/>
          <w:bCs/>
          <w:sz w:val="32"/>
          <w:szCs w:val="32"/>
          <w:lang w:val="en-US" w:eastAsia="zh-CN"/>
        </w:rPr>
        <w:t>5现有环境风险防控和应急措施差距分析</w:t>
      </w:r>
      <w:bookmarkEnd w:id="78"/>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t>在充分调研企业现有应急能力和管理制度的基础上，根据企业涉及环境风险物质的种类及数量、环境风险受体等实际情况，结合可能发生的突发环境事件分析，从以下五方面对现有环境风险防控和应急措施存在的问题进行分析，找出差距，提出需要整改的短期、中期和长期项目内容。</w:t>
      </w:r>
    </w:p>
    <w:p>
      <w:pPr>
        <w:pStyle w:val="21"/>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outlineLvl w:val="0"/>
        <w:rPr>
          <w:rFonts w:hint="default" w:ascii="Times New Roman" w:hAnsi="Times New Roman" w:eastAsia="宋体" w:cs="Times New Roman"/>
          <w:sz w:val="30"/>
          <w:szCs w:val="30"/>
        </w:rPr>
      </w:pPr>
      <w:bookmarkStart w:id="79" w:name="_Toc24178"/>
      <w:r>
        <w:rPr>
          <w:rFonts w:hint="eastAsia" w:eastAsia="宋体" w:cs="Times New Roman"/>
          <w:sz w:val="30"/>
          <w:szCs w:val="30"/>
          <w:lang w:val="en-US" w:eastAsia="zh-CN"/>
        </w:rPr>
        <w:t>5</w:t>
      </w:r>
      <w:r>
        <w:rPr>
          <w:rFonts w:hint="default" w:ascii="Times New Roman" w:hAnsi="Times New Roman" w:eastAsia="宋体" w:cs="Times New Roman"/>
          <w:sz w:val="30"/>
          <w:szCs w:val="30"/>
        </w:rPr>
        <w:t>.1环境风险管理制度</w:t>
      </w:r>
      <w:bookmarkEnd w:id="79"/>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环境管理制度的要求和公司建立环境管理制度情况见表5.1-1。</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4"/>
          <w:szCs w:val="24"/>
        </w:rPr>
      </w:pPr>
      <w:r>
        <w:rPr>
          <w:rFonts w:hint="eastAsia"/>
          <w:b/>
          <w:bCs/>
          <w:sz w:val="24"/>
          <w:szCs w:val="24"/>
        </w:rPr>
        <w:t>表</w:t>
      </w:r>
      <w:r>
        <w:rPr>
          <w:rFonts w:hint="eastAsia"/>
          <w:b/>
          <w:bCs/>
          <w:sz w:val="24"/>
          <w:szCs w:val="24"/>
          <w:lang w:val="en-US" w:eastAsia="zh-CN"/>
        </w:rPr>
        <w:t>5.1</w:t>
      </w:r>
      <w:r>
        <w:rPr>
          <w:rFonts w:hint="eastAsia"/>
          <w:b/>
          <w:bCs/>
          <w:sz w:val="24"/>
          <w:szCs w:val="24"/>
        </w:rPr>
        <w:t>-</w:t>
      </w:r>
      <w:r>
        <w:rPr>
          <w:rFonts w:hint="eastAsia"/>
          <w:b/>
          <w:bCs/>
          <w:sz w:val="24"/>
          <w:szCs w:val="24"/>
          <w:lang w:val="en-US" w:eastAsia="zh-CN"/>
        </w:rPr>
        <w:t>1</w:t>
      </w:r>
      <w:r>
        <w:rPr>
          <w:rFonts w:hint="eastAsia"/>
          <w:b/>
          <w:bCs/>
          <w:sz w:val="24"/>
          <w:szCs w:val="24"/>
        </w:rPr>
        <w:t xml:space="preserve">  </w:t>
      </w:r>
      <w:r>
        <w:rPr>
          <w:rFonts w:hint="default" w:ascii="Times New Roman" w:hAnsi="Times New Roman" w:eastAsia="宋体" w:cs="Times New Roman"/>
          <w:b/>
          <w:sz w:val="24"/>
          <w:szCs w:val="22"/>
        </w:rPr>
        <w:t>环境管理制度情况</w:t>
      </w:r>
    </w:p>
    <w:tbl>
      <w:tblPr>
        <w:tblStyle w:val="15"/>
        <w:tblW w:w="81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7"/>
        <w:gridCol w:w="3345"/>
        <w:gridCol w:w="3094"/>
        <w:gridCol w:w="11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7"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序号</w:t>
            </w:r>
          </w:p>
        </w:tc>
        <w:tc>
          <w:tcPr>
            <w:tcW w:w="3345"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具体要求</w:t>
            </w:r>
          </w:p>
        </w:tc>
        <w:tc>
          <w:tcPr>
            <w:tcW w:w="3094"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企业现状</w:t>
            </w:r>
          </w:p>
        </w:tc>
        <w:tc>
          <w:tcPr>
            <w:tcW w:w="1138"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差距分析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7"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3345"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环境风险防控和应急措施制度是否建立，环境风险防控重点岗位的责任人或责任机构是否明确，定期巡检和维护责任制度是否落实。</w:t>
            </w:r>
          </w:p>
        </w:tc>
        <w:tc>
          <w:tcPr>
            <w:tcW w:w="3094"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已建立相应措施制度，环境风险防控重点岗位责任人或责任机构明确，巡检、维护制度落实。</w:t>
            </w:r>
          </w:p>
        </w:tc>
        <w:tc>
          <w:tcPr>
            <w:tcW w:w="1138"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无差距</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7"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3345"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环评及批复文件的各项环境风险防控和应急措施要求是否落实。</w:t>
            </w:r>
          </w:p>
        </w:tc>
        <w:tc>
          <w:tcPr>
            <w:tcW w:w="3094"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环评及环评批复要求已落实</w:t>
            </w:r>
          </w:p>
        </w:tc>
        <w:tc>
          <w:tcPr>
            <w:tcW w:w="1138"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无差距</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7"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3345"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是否经常对职工开展环境风险和环境应急管理宣传和培训。</w:t>
            </w:r>
          </w:p>
        </w:tc>
        <w:tc>
          <w:tcPr>
            <w:tcW w:w="3094"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定期对员工开展环境风险和环境应急管理培训，纳入公司三级教育。</w:t>
            </w:r>
          </w:p>
        </w:tc>
        <w:tc>
          <w:tcPr>
            <w:tcW w:w="1138"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无差距</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7"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3345"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是否建立突发环境事件信息报告制度，并有效执行。</w:t>
            </w:r>
          </w:p>
        </w:tc>
        <w:tc>
          <w:tcPr>
            <w:tcW w:w="3094"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已建立突发环境事件信息报告制度，企业应急预案已明确。</w:t>
            </w:r>
          </w:p>
        </w:tc>
        <w:tc>
          <w:tcPr>
            <w:tcW w:w="1138"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无差距</w:t>
            </w:r>
          </w:p>
        </w:tc>
      </w:tr>
    </w:tbl>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highlight w:val="none"/>
          <w:lang w:val="en-US" w:eastAsia="zh-CN"/>
        </w:rPr>
      </w:pPr>
    </w:p>
    <w:p>
      <w:pPr>
        <w:pStyle w:val="21"/>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outlineLvl w:val="0"/>
        <w:rPr>
          <w:rFonts w:hint="default" w:ascii="Times New Roman" w:hAnsi="Times New Roman" w:eastAsia="宋体" w:cs="Times New Roman"/>
          <w:sz w:val="30"/>
          <w:szCs w:val="30"/>
          <w:lang w:val="en-US" w:eastAsia="zh-CN"/>
        </w:rPr>
      </w:pPr>
      <w:bookmarkStart w:id="80" w:name="_Toc13207"/>
      <w:bookmarkStart w:id="81" w:name="_Toc7759"/>
      <w:bookmarkStart w:id="82" w:name="_Toc522097193"/>
      <w:r>
        <w:rPr>
          <w:rFonts w:hint="default" w:ascii="Times New Roman" w:hAnsi="Times New Roman" w:eastAsia="宋体" w:cs="Times New Roman"/>
          <w:sz w:val="30"/>
          <w:szCs w:val="30"/>
          <w:lang w:val="en-US" w:eastAsia="zh-CN"/>
        </w:rPr>
        <w:t>5.2环境风险防控与应急措施</w:t>
      </w:r>
      <w:bookmarkEnd w:id="80"/>
      <w:bookmarkEnd w:id="81"/>
      <w:bookmarkEnd w:id="82"/>
    </w:p>
    <w:p>
      <w:pPr>
        <w:pStyle w:val="27"/>
        <w:keepNext w:val="0"/>
        <w:keepLines w:val="0"/>
        <w:pageBreakBefore w:val="0"/>
        <w:widowControl w:val="0"/>
        <w:kinsoku/>
        <w:wordWrap/>
        <w:overflowPunct/>
        <w:topLinePunct w:val="0"/>
        <w:autoSpaceDE/>
        <w:autoSpaceDN/>
        <w:bidi w:val="0"/>
        <w:adjustRightInd/>
        <w:snapToGrid/>
        <w:spacing w:before="0" w:beforeLines="0" w:after="0" w:line="360" w:lineRule="auto"/>
        <w:textAlignment w:val="auto"/>
        <w:rPr>
          <w:rFonts w:hint="default" w:ascii="Times New Roman" w:hAnsi="Times New Roman" w:eastAsia="宋体" w:cs="Times New Roman"/>
        </w:rPr>
      </w:pPr>
      <w:r>
        <w:rPr>
          <w:rFonts w:hint="default" w:ascii="Times New Roman" w:hAnsi="Times New Roman" w:eastAsia="宋体" w:cs="Times New Roman"/>
        </w:rPr>
        <w:t>表5.2-1  环境风险防控与应急措施差距分析</w:t>
      </w:r>
    </w:p>
    <w:tbl>
      <w:tblPr>
        <w:tblStyle w:val="15"/>
        <w:tblW w:w="4882"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51"/>
        <w:gridCol w:w="2487"/>
        <w:gridCol w:w="4005"/>
        <w:gridCol w:w="137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1765" w:type="pct"/>
            <w:gridSpan w:val="2"/>
            <w:tcBorders>
              <w:top w:val="single" w:color="auto" w:sz="12" w:space="0"/>
              <w:left w:val="nil"/>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相关风险防控和应急措施</w:t>
            </w:r>
          </w:p>
        </w:tc>
        <w:tc>
          <w:tcPr>
            <w:tcW w:w="2406" w:type="pct"/>
            <w:tcBorders>
              <w:top w:val="single" w:color="auto" w:sz="12"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落实情况</w:t>
            </w:r>
          </w:p>
        </w:tc>
        <w:tc>
          <w:tcPr>
            <w:tcW w:w="828" w:type="pct"/>
            <w:tcBorders>
              <w:top w:val="single" w:color="auto" w:sz="12" w:space="0"/>
              <w:left w:val="single" w:color="auto" w:sz="6" w:space="0"/>
              <w:bottom w:val="single" w:color="auto" w:sz="6" w:space="0"/>
              <w:right w:val="nil"/>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差距性分析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71" w:type="pct"/>
            <w:vMerge w:val="restart"/>
            <w:tcBorders>
              <w:top w:val="single" w:color="auto" w:sz="6" w:space="0"/>
              <w:left w:val="nil"/>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环境风险管理制度</w:t>
            </w:r>
          </w:p>
        </w:tc>
        <w:tc>
          <w:tcPr>
            <w:tcW w:w="1493"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环境风险防控和应急措施制度是否建立</w:t>
            </w:r>
          </w:p>
        </w:tc>
        <w:tc>
          <w:tcPr>
            <w:tcW w:w="2406"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火灾爆炸风险以及事故性泄漏常与装置设备故障相关联，安全管理中要密切注意事故易发部位，做好运行监督检查与维修保养，防患于未然。</w:t>
            </w:r>
          </w:p>
        </w:tc>
        <w:tc>
          <w:tcPr>
            <w:tcW w:w="828" w:type="pct"/>
            <w:tcBorders>
              <w:top w:val="single" w:color="auto" w:sz="6" w:space="0"/>
              <w:left w:val="single" w:color="auto" w:sz="6" w:space="0"/>
              <w:bottom w:val="single" w:color="auto" w:sz="6" w:space="0"/>
              <w:right w:val="nil"/>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符合要求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0" w:type="auto"/>
            <w:vMerge w:val="continue"/>
            <w:tcBorders>
              <w:top w:val="single" w:color="auto" w:sz="6" w:space="0"/>
              <w:left w:val="nil"/>
              <w:bottom w:val="single" w:color="auto" w:sz="6" w:space="0"/>
              <w:right w:val="single" w:color="auto" w:sz="6" w:space="0"/>
            </w:tcBorders>
            <w:vAlign w:val="center"/>
          </w:tcPr>
          <w:p>
            <w:pPr>
              <w:keepNext w:val="0"/>
              <w:keepLines w:val="0"/>
              <w:pageBreakBefore w:val="0"/>
              <w:widowControl/>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493"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环境风险防控重点岗位的责任人或责任机构是否明确</w:t>
            </w:r>
          </w:p>
        </w:tc>
        <w:tc>
          <w:tcPr>
            <w:tcW w:w="2406"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组建了突发环境事件应急指挥部，在应急响应时，根据事件实际情况，成立相应的应急救援队伍。</w:t>
            </w:r>
          </w:p>
        </w:tc>
        <w:tc>
          <w:tcPr>
            <w:tcW w:w="828" w:type="pct"/>
            <w:tcBorders>
              <w:top w:val="single" w:color="auto" w:sz="6" w:space="0"/>
              <w:left w:val="single" w:color="auto" w:sz="6" w:space="0"/>
              <w:bottom w:val="single" w:color="auto" w:sz="6" w:space="0"/>
              <w:right w:val="nil"/>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环境风险防控责任人或责任机构已明确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0" w:type="auto"/>
            <w:vMerge w:val="continue"/>
            <w:tcBorders>
              <w:top w:val="single" w:color="auto" w:sz="6" w:space="0"/>
              <w:left w:val="nil"/>
              <w:bottom w:val="single" w:color="auto" w:sz="6" w:space="0"/>
              <w:right w:val="single" w:color="auto" w:sz="6" w:space="0"/>
            </w:tcBorders>
            <w:vAlign w:val="center"/>
          </w:tcPr>
          <w:p>
            <w:pPr>
              <w:keepNext w:val="0"/>
              <w:keepLines w:val="0"/>
              <w:pageBreakBefore w:val="0"/>
              <w:widowControl/>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493"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定期巡检和维护责任制度是否落实</w:t>
            </w:r>
          </w:p>
        </w:tc>
        <w:tc>
          <w:tcPr>
            <w:tcW w:w="2406"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组织专门人员每天每班多次进行周期性巡回检查，有跑、冒、滴、漏或其他异常现象的应及时检修，按照“生产服从安全”原则停车检修，严禁带病或不正常运转</w:t>
            </w:r>
          </w:p>
        </w:tc>
        <w:tc>
          <w:tcPr>
            <w:tcW w:w="828" w:type="pct"/>
            <w:tcBorders>
              <w:top w:val="single" w:color="auto" w:sz="6" w:space="0"/>
              <w:left w:val="single" w:color="auto" w:sz="6" w:space="0"/>
              <w:bottom w:val="single" w:color="auto" w:sz="6" w:space="0"/>
              <w:right w:val="nil"/>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定期巡检和维护责任制度已落实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0" w:type="auto"/>
            <w:vMerge w:val="continue"/>
            <w:tcBorders>
              <w:top w:val="single" w:color="auto" w:sz="6" w:space="0"/>
              <w:left w:val="nil"/>
              <w:bottom w:val="single" w:color="auto" w:sz="6" w:space="0"/>
              <w:right w:val="single" w:color="auto" w:sz="6" w:space="0"/>
            </w:tcBorders>
            <w:vAlign w:val="center"/>
          </w:tcPr>
          <w:p>
            <w:pPr>
              <w:keepNext w:val="0"/>
              <w:keepLines w:val="0"/>
              <w:pageBreakBefore w:val="0"/>
              <w:widowControl/>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493"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环评及批复文件的各项环境风险防控和应急措施要求是否落实</w:t>
            </w:r>
          </w:p>
        </w:tc>
        <w:tc>
          <w:tcPr>
            <w:tcW w:w="2406" w:type="pct"/>
            <w:tcBorders>
              <w:top w:val="single" w:color="auto" w:sz="6" w:space="0"/>
              <w:left w:val="single" w:color="auto" w:sz="6" w:space="0"/>
              <w:bottom w:val="single" w:color="auto" w:sz="6" w:space="0"/>
              <w:right w:val="single" w:color="auto" w:sz="6" w:space="0"/>
            </w:tcBorders>
            <w:vAlign w:val="center"/>
          </w:tcPr>
          <w:p>
            <w:pPr>
              <w:pStyle w:val="11"/>
              <w:keepNext w:val="0"/>
              <w:keepLines w:val="0"/>
              <w:pageBreakBefore w:val="0"/>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公司设置了预防控制措施，切断污染物与外部的通道。</w:t>
            </w:r>
          </w:p>
        </w:tc>
        <w:tc>
          <w:tcPr>
            <w:tcW w:w="828" w:type="pct"/>
            <w:tcBorders>
              <w:top w:val="single" w:color="auto" w:sz="6" w:space="0"/>
              <w:left w:val="single" w:color="auto" w:sz="6" w:space="0"/>
              <w:bottom w:val="single" w:color="auto" w:sz="6" w:space="0"/>
              <w:right w:val="nil"/>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已设置事故应急池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0" w:type="auto"/>
            <w:vMerge w:val="continue"/>
            <w:tcBorders>
              <w:top w:val="single" w:color="auto" w:sz="6" w:space="0"/>
              <w:left w:val="nil"/>
              <w:bottom w:val="single" w:color="auto" w:sz="6" w:space="0"/>
              <w:right w:val="single" w:color="auto" w:sz="6" w:space="0"/>
            </w:tcBorders>
            <w:vAlign w:val="center"/>
          </w:tcPr>
          <w:p>
            <w:pPr>
              <w:keepNext w:val="0"/>
              <w:keepLines w:val="0"/>
              <w:pageBreakBefore w:val="0"/>
              <w:widowControl/>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493"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是否经常对职工开展环境风险和环境应急管理宣传和培训</w:t>
            </w:r>
          </w:p>
        </w:tc>
        <w:tc>
          <w:tcPr>
            <w:tcW w:w="2406"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eastAsia="zh-CN"/>
              </w:rPr>
              <w:t>九江油库</w:t>
            </w:r>
            <w:r>
              <w:rPr>
                <w:rFonts w:hint="default" w:ascii="Times New Roman" w:hAnsi="Times New Roman" w:cs="Times New Roman" w:eastAsiaTheme="minorEastAsia"/>
                <w:color w:val="auto"/>
                <w:sz w:val="21"/>
                <w:szCs w:val="21"/>
                <w:highlight w:val="none"/>
              </w:rPr>
              <w:t>应急指挥部负责组织、指导应急预案的培训工作，通过观看应急演练讲座、邀请应急专家授课等形式对应急人员进行应急知识和技能的培训</w:t>
            </w:r>
          </w:p>
        </w:tc>
        <w:tc>
          <w:tcPr>
            <w:tcW w:w="828" w:type="pct"/>
            <w:tcBorders>
              <w:top w:val="single" w:color="auto" w:sz="6" w:space="0"/>
              <w:left w:val="single" w:color="auto" w:sz="6" w:space="0"/>
              <w:bottom w:val="single" w:color="auto" w:sz="6" w:space="0"/>
              <w:right w:val="nil"/>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已开展相关培训工作</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0" w:type="auto"/>
            <w:vMerge w:val="continue"/>
            <w:tcBorders>
              <w:top w:val="single" w:color="auto" w:sz="6" w:space="0"/>
              <w:left w:val="nil"/>
              <w:bottom w:val="single" w:color="auto" w:sz="6" w:space="0"/>
              <w:right w:val="single" w:color="auto" w:sz="6" w:space="0"/>
            </w:tcBorders>
            <w:vAlign w:val="center"/>
          </w:tcPr>
          <w:p>
            <w:pPr>
              <w:keepNext w:val="0"/>
              <w:keepLines w:val="0"/>
              <w:pageBreakBefore w:val="0"/>
              <w:widowControl/>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493"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是否建立突发环境事件信息报告制度，并有效执行</w:t>
            </w:r>
          </w:p>
        </w:tc>
        <w:tc>
          <w:tcPr>
            <w:tcW w:w="2406"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发生突发环境事件后及时进行初报、续报、处理结果报告</w:t>
            </w:r>
          </w:p>
        </w:tc>
        <w:tc>
          <w:tcPr>
            <w:tcW w:w="828" w:type="pct"/>
            <w:tcBorders>
              <w:top w:val="single" w:color="auto" w:sz="6" w:space="0"/>
              <w:left w:val="single" w:color="auto" w:sz="6" w:space="0"/>
              <w:bottom w:val="single" w:color="auto" w:sz="6" w:space="0"/>
              <w:right w:val="nil"/>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已建立报告制度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71" w:type="pct"/>
            <w:vMerge w:val="restart"/>
            <w:tcBorders>
              <w:top w:val="single" w:color="auto" w:sz="6" w:space="0"/>
              <w:left w:val="nil"/>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环境风险防控与应急措施</w:t>
            </w:r>
          </w:p>
        </w:tc>
        <w:tc>
          <w:tcPr>
            <w:tcW w:w="1493"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是否在废气排放口、废水、雨水和清洁下水排放口对可能排出的环境风险物质，按照物质特性、危害，设置监视、控制措施，分析每项措施的管理规定、岗位职责落实情况和措施的有效性</w:t>
            </w:r>
          </w:p>
        </w:tc>
        <w:tc>
          <w:tcPr>
            <w:tcW w:w="2406"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1"/>
                <w:szCs w:val="21"/>
                <w:highlight w:val="none"/>
                <w:lang w:eastAsia="zh-CN"/>
              </w:rPr>
            </w:pPr>
            <w:r>
              <w:rPr>
                <w:rFonts w:hint="eastAsia"/>
                <w:sz w:val="21"/>
                <w:szCs w:val="21"/>
              </w:rPr>
              <w:t>初期雨水</w:t>
            </w:r>
            <w:r>
              <w:rPr>
                <w:rFonts w:hint="eastAsia"/>
                <w:sz w:val="21"/>
                <w:szCs w:val="21"/>
                <w:lang w:eastAsia="zh-CN"/>
              </w:rPr>
              <w:t>、</w:t>
            </w:r>
            <w:r>
              <w:rPr>
                <w:rFonts w:hint="eastAsia"/>
                <w:sz w:val="21"/>
                <w:szCs w:val="21"/>
              </w:rPr>
              <w:t>油罐罐底切水废水</w:t>
            </w:r>
            <w:r>
              <w:rPr>
                <w:rFonts w:hint="eastAsia"/>
                <w:sz w:val="21"/>
                <w:szCs w:val="21"/>
                <w:lang w:eastAsia="zh-CN"/>
              </w:rPr>
              <w:t>和</w:t>
            </w:r>
            <w:r>
              <w:rPr>
                <w:rFonts w:hint="eastAsia"/>
                <w:sz w:val="21"/>
                <w:szCs w:val="21"/>
              </w:rPr>
              <w:t>油罐清洗废水</w:t>
            </w:r>
            <w:r>
              <w:rPr>
                <w:rFonts w:hint="eastAsia"/>
                <w:sz w:val="21"/>
                <w:szCs w:val="21"/>
                <w:lang w:eastAsia="zh-CN"/>
              </w:rPr>
              <w:t>经收集后</w:t>
            </w:r>
            <w:r>
              <w:rPr>
                <w:rFonts w:hint="eastAsia"/>
                <w:sz w:val="21"/>
                <w:szCs w:val="21"/>
              </w:rPr>
              <w:t>依托中国石化九江分公司污水处理厂处理</w:t>
            </w:r>
            <w:r>
              <w:rPr>
                <w:rFonts w:hint="eastAsia"/>
                <w:sz w:val="21"/>
                <w:szCs w:val="21"/>
                <w:lang w:eastAsia="zh-CN"/>
              </w:rPr>
              <w:t>，</w:t>
            </w:r>
            <w:r>
              <w:rPr>
                <w:rFonts w:hAnsi="宋体"/>
                <w:sz w:val="21"/>
                <w:szCs w:val="21"/>
              </w:rPr>
              <w:t>生活污水</w:t>
            </w:r>
            <w:r>
              <w:rPr>
                <w:rFonts w:hint="eastAsia" w:hAnsi="宋体"/>
                <w:sz w:val="21"/>
                <w:szCs w:val="21"/>
                <w:lang w:eastAsia="zh-CN"/>
              </w:rPr>
              <w:t>经过</w:t>
            </w:r>
            <w:r>
              <w:rPr>
                <w:rFonts w:hint="eastAsia"/>
                <w:sz w:val="21"/>
                <w:szCs w:val="21"/>
              </w:rPr>
              <w:t>MBR污水处理工艺处理后达《城镇污水处理厂污染物排放标准》（GB18918-2002）表1中一级B标准，最终排入长江</w:t>
            </w:r>
            <w:r>
              <w:rPr>
                <w:rFonts w:hint="eastAsia"/>
                <w:sz w:val="21"/>
                <w:szCs w:val="21"/>
                <w:lang w:eastAsia="zh-CN"/>
              </w:rPr>
              <w:t>；项目废气主要为无组织有机废气。企业按照要求</w:t>
            </w:r>
            <w:r>
              <w:rPr>
                <w:rFonts w:hint="eastAsia" w:cs="Times New Roman" w:eastAsiaTheme="minorEastAsia"/>
                <w:color w:val="auto"/>
                <w:sz w:val="21"/>
                <w:szCs w:val="21"/>
                <w:highlight w:val="none"/>
                <w:lang w:eastAsia="zh-CN"/>
              </w:rPr>
              <w:t>在</w:t>
            </w:r>
            <w:r>
              <w:rPr>
                <w:rFonts w:hint="default" w:ascii="Times New Roman" w:hAnsi="Times New Roman" w:cs="Times New Roman" w:eastAsiaTheme="minorEastAsia"/>
                <w:color w:val="auto"/>
                <w:sz w:val="21"/>
                <w:szCs w:val="21"/>
                <w:highlight w:val="none"/>
              </w:rPr>
              <w:t>污水排放口</w:t>
            </w:r>
            <w:r>
              <w:rPr>
                <w:rFonts w:hint="eastAsia" w:cs="Times New Roman" w:eastAsiaTheme="minorEastAsia"/>
                <w:color w:val="auto"/>
                <w:sz w:val="21"/>
                <w:szCs w:val="21"/>
                <w:highlight w:val="none"/>
                <w:lang w:eastAsia="zh-CN"/>
              </w:rPr>
              <w:t>和厂区内生活区</w:t>
            </w:r>
            <w:r>
              <w:rPr>
                <w:rFonts w:hint="default" w:ascii="Times New Roman" w:hAnsi="Times New Roman" w:cs="Times New Roman" w:eastAsiaTheme="minorEastAsia"/>
                <w:color w:val="auto"/>
                <w:sz w:val="21"/>
                <w:szCs w:val="21"/>
                <w:highlight w:val="none"/>
              </w:rPr>
              <w:t>定期委托检测</w:t>
            </w:r>
          </w:p>
        </w:tc>
        <w:tc>
          <w:tcPr>
            <w:tcW w:w="828" w:type="pct"/>
            <w:tcBorders>
              <w:top w:val="single" w:color="auto" w:sz="6" w:space="0"/>
              <w:left w:val="single" w:color="auto" w:sz="6" w:space="0"/>
              <w:bottom w:val="single" w:color="auto" w:sz="6" w:space="0"/>
              <w:right w:val="nil"/>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符合要求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0" w:type="auto"/>
            <w:vMerge w:val="continue"/>
            <w:tcBorders>
              <w:top w:val="single" w:color="auto" w:sz="6" w:space="0"/>
              <w:left w:val="nil"/>
              <w:bottom w:val="single" w:color="auto" w:sz="6" w:space="0"/>
              <w:right w:val="single" w:color="auto" w:sz="6" w:space="0"/>
            </w:tcBorders>
            <w:vAlign w:val="center"/>
          </w:tcPr>
          <w:p>
            <w:pPr>
              <w:keepNext w:val="0"/>
              <w:keepLines w:val="0"/>
              <w:pageBreakBefore w:val="0"/>
              <w:widowControl/>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493" w:type="pct"/>
            <w:vMerge w:val="restar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是否采取防止事故排水、污染物等扩散、排出厂界的措施，包括截流措施、事故排水收集措施、清净下水系统防控措施、雨水系统防控措施、生产废水处理系统防控措施等，分析每项措施的管理规定、岗位职责落实情况和措施的有效性</w:t>
            </w:r>
          </w:p>
        </w:tc>
        <w:tc>
          <w:tcPr>
            <w:tcW w:w="2406"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sz w:val="21"/>
                <w:szCs w:val="21"/>
              </w:rPr>
              <w:t>初期雨水</w:t>
            </w:r>
            <w:r>
              <w:rPr>
                <w:rFonts w:hint="eastAsia"/>
                <w:sz w:val="21"/>
                <w:szCs w:val="21"/>
                <w:lang w:eastAsia="zh-CN"/>
              </w:rPr>
              <w:t>、</w:t>
            </w:r>
            <w:r>
              <w:rPr>
                <w:rFonts w:hint="eastAsia"/>
                <w:sz w:val="21"/>
                <w:szCs w:val="21"/>
              </w:rPr>
              <w:t>油罐罐底切水废水</w:t>
            </w:r>
            <w:r>
              <w:rPr>
                <w:rFonts w:hint="eastAsia"/>
                <w:sz w:val="21"/>
                <w:szCs w:val="21"/>
                <w:lang w:eastAsia="zh-CN"/>
              </w:rPr>
              <w:t>和</w:t>
            </w:r>
            <w:r>
              <w:rPr>
                <w:rFonts w:hint="eastAsia"/>
                <w:sz w:val="21"/>
                <w:szCs w:val="21"/>
              </w:rPr>
              <w:t>油罐清洗废水</w:t>
            </w:r>
            <w:r>
              <w:rPr>
                <w:rFonts w:hint="eastAsia"/>
                <w:sz w:val="21"/>
                <w:szCs w:val="21"/>
                <w:lang w:eastAsia="zh-CN"/>
              </w:rPr>
              <w:t>经收集后</w:t>
            </w:r>
            <w:r>
              <w:rPr>
                <w:rFonts w:hint="eastAsia"/>
                <w:sz w:val="21"/>
                <w:szCs w:val="21"/>
              </w:rPr>
              <w:t>依托中国石化九江分公司污水处理厂处理</w:t>
            </w:r>
            <w:r>
              <w:rPr>
                <w:rFonts w:hint="eastAsia"/>
                <w:sz w:val="21"/>
                <w:szCs w:val="21"/>
                <w:lang w:eastAsia="zh-CN"/>
              </w:rPr>
              <w:t>，</w:t>
            </w:r>
            <w:r>
              <w:rPr>
                <w:rFonts w:hAnsi="宋体"/>
                <w:sz w:val="21"/>
                <w:szCs w:val="21"/>
              </w:rPr>
              <w:t>生活污水</w:t>
            </w:r>
            <w:r>
              <w:rPr>
                <w:rFonts w:hint="eastAsia" w:hAnsi="宋体"/>
                <w:sz w:val="21"/>
                <w:szCs w:val="21"/>
                <w:lang w:eastAsia="zh-CN"/>
              </w:rPr>
              <w:t>经过</w:t>
            </w:r>
            <w:r>
              <w:rPr>
                <w:rFonts w:hint="eastAsia"/>
                <w:sz w:val="21"/>
                <w:szCs w:val="21"/>
              </w:rPr>
              <w:t>MBR污水处理工艺处理后达《城镇污水处理厂污染物排放标准》（GB18918-2002）表1中一级B标准，最终排入长江</w:t>
            </w:r>
          </w:p>
        </w:tc>
        <w:tc>
          <w:tcPr>
            <w:tcW w:w="828" w:type="pct"/>
            <w:tcBorders>
              <w:top w:val="single" w:color="auto" w:sz="6" w:space="0"/>
              <w:left w:val="single" w:color="auto" w:sz="6" w:space="0"/>
              <w:bottom w:val="single" w:color="auto" w:sz="6" w:space="0"/>
              <w:right w:val="nil"/>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符合要求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0" w:type="auto"/>
            <w:vMerge w:val="continue"/>
            <w:tcBorders>
              <w:top w:val="single" w:color="auto" w:sz="6" w:space="0"/>
              <w:left w:val="nil"/>
              <w:bottom w:val="single" w:color="auto" w:sz="6" w:space="0"/>
              <w:right w:val="single" w:color="auto" w:sz="6" w:space="0"/>
            </w:tcBorders>
            <w:vAlign w:val="center"/>
          </w:tcPr>
          <w:p>
            <w:pPr>
              <w:keepNext w:val="0"/>
              <w:keepLines w:val="0"/>
              <w:pageBreakBefore w:val="0"/>
              <w:widowControl/>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0" w:type="auto"/>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06"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设置了满足要求的事故池，设立控制阀门等。未针对生产废水及生活污水设立事故应急池等截流措施。</w:t>
            </w:r>
          </w:p>
        </w:tc>
        <w:tc>
          <w:tcPr>
            <w:tcW w:w="828" w:type="pct"/>
            <w:tcBorders>
              <w:top w:val="single" w:color="auto" w:sz="6" w:space="0"/>
              <w:left w:val="single" w:color="auto" w:sz="6" w:space="0"/>
              <w:bottom w:val="single" w:color="auto" w:sz="6" w:space="0"/>
              <w:right w:val="nil"/>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符合要求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0" w:type="auto"/>
            <w:vMerge w:val="continue"/>
            <w:tcBorders>
              <w:top w:val="single" w:color="auto" w:sz="6" w:space="0"/>
              <w:left w:val="nil"/>
              <w:bottom w:val="single" w:color="auto" w:sz="6" w:space="0"/>
              <w:right w:val="single" w:color="auto" w:sz="6" w:space="0"/>
            </w:tcBorders>
            <w:vAlign w:val="center"/>
          </w:tcPr>
          <w:p>
            <w:pPr>
              <w:keepNext w:val="0"/>
              <w:keepLines w:val="0"/>
              <w:pageBreakBefore w:val="0"/>
              <w:widowControl/>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0" w:type="auto"/>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06"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有专门的工作人员按照企业生产管理规定严格执行。</w:t>
            </w:r>
          </w:p>
        </w:tc>
        <w:tc>
          <w:tcPr>
            <w:tcW w:w="828" w:type="pct"/>
            <w:tcBorders>
              <w:top w:val="single" w:color="auto" w:sz="6" w:space="0"/>
              <w:left w:val="single" w:color="auto" w:sz="6" w:space="0"/>
              <w:bottom w:val="single" w:color="auto" w:sz="6" w:space="0"/>
              <w:right w:val="nil"/>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符合要求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0" w:type="auto"/>
            <w:vMerge w:val="continue"/>
            <w:tcBorders>
              <w:top w:val="single" w:color="auto" w:sz="6" w:space="0"/>
              <w:left w:val="nil"/>
              <w:bottom w:val="single" w:color="auto" w:sz="6" w:space="0"/>
              <w:right w:val="single" w:color="auto" w:sz="6" w:space="0"/>
            </w:tcBorders>
            <w:vAlign w:val="center"/>
          </w:tcPr>
          <w:p>
            <w:pPr>
              <w:keepNext w:val="0"/>
              <w:keepLines w:val="0"/>
              <w:pageBreakBefore w:val="0"/>
              <w:widowControl/>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493"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涉及毒性气体的，是否设置毒性气体泄漏紧急处置装置，是否已布置生产区域或厂界毒性气体泄漏监控预警系统，是否有提醒周边公众紧急疏散的措施和手段等，分析每项措施的管理规定、岗位责任落实情况和措施的有效性</w:t>
            </w:r>
          </w:p>
        </w:tc>
        <w:tc>
          <w:tcPr>
            <w:tcW w:w="2406"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设置了紧急处置装置及监控预警系统，有相应的紧急疏散措施</w:t>
            </w:r>
          </w:p>
        </w:tc>
        <w:tc>
          <w:tcPr>
            <w:tcW w:w="828" w:type="pct"/>
            <w:tcBorders>
              <w:top w:val="single" w:color="auto" w:sz="6" w:space="0"/>
              <w:left w:val="single" w:color="auto" w:sz="6" w:space="0"/>
              <w:bottom w:val="single" w:color="auto" w:sz="6" w:space="0"/>
              <w:right w:val="nil"/>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符合要求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71" w:type="pct"/>
            <w:vMerge w:val="restart"/>
            <w:tcBorders>
              <w:top w:val="single" w:color="auto" w:sz="6" w:space="0"/>
              <w:left w:val="nil"/>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环境应急资源</w:t>
            </w:r>
          </w:p>
        </w:tc>
        <w:tc>
          <w:tcPr>
            <w:tcW w:w="1493"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是否配备必要的应急物资和应急装备（包括应急监测）</w:t>
            </w:r>
          </w:p>
        </w:tc>
        <w:tc>
          <w:tcPr>
            <w:tcW w:w="2406"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已配备应急物资和应急装备，由于企业不具备全部监测能力，将有监测能力的单位进行监测</w:t>
            </w:r>
          </w:p>
        </w:tc>
        <w:tc>
          <w:tcPr>
            <w:tcW w:w="828" w:type="pct"/>
            <w:tcBorders>
              <w:top w:val="single" w:color="auto" w:sz="6" w:space="0"/>
              <w:left w:val="single" w:color="auto" w:sz="6" w:space="0"/>
              <w:bottom w:val="single" w:color="auto" w:sz="6" w:space="0"/>
              <w:right w:val="nil"/>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符合要求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0" w:type="auto"/>
            <w:vMerge w:val="continue"/>
            <w:tcBorders>
              <w:top w:val="single" w:color="auto" w:sz="6" w:space="0"/>
              <w:left w:val="nil"/>
              <w:bottom w:val="single" w:color="auto" w:sz="6" w:space="0"/>
              <w:right w:val="single" w:color="auto" w:sz="6" w:space="0"/>
            </w:tcBorders>
            <w:vAlign w:val="center"/>
          </w:tcPr>
          <w:p>
            <w:pPr>
              <w:keepNext w:val="0"/>
              <w:keepLines w:val="0"/>
              <w:pageBreakBefore w:val="0"/>
              <w:widowControl/>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493"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是否已设置专职或兼职人员组成的应急救援队伍</w:t>
            </w:r>
          </w:p>
        </w:tc>
        <w:tc>
          <w:tcPr>
            <w:tcW w:w="2406"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应急救援队伍由应急指挥部和各应急救援队组成，一旦发生事故由应急指挥部统一调动</w:t>
            </w:r>
          </w:p>
        </w:tc>
        <w:tc>
          <w:tcPr>
            <w:tcW w:w="828" w:type="pct"/>
            <w:tcBorders>
              <w:top w:val="single" w:color="auto" w:sz="6" w:space="0"/>
              <w:left w:val="single" w:color="auto" w:sz="6" w:space="0"/>
              <w:bottom w:val="single" w:color="auto" w:sz="6" w:space="0"/>
              <w:right w:val="nil"/>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已设置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0" w:type="auto"/>
            <w:vMerge w:val="continue"/>
            <w:tcBorders>
              <w:top w:val="single" w:color="auto" w:sz="6" w:space="0"/>
              <w:left w:val="nil"/>
              <w:bottom w:val="single" w:color="auto" w:sz="6" w:space="0"/>
              <w:right w:val="single" w:color="auto" w:sz="6" w:space="0"/>
            </w:tcBorders>
            <w:vAlign w:val="center"/>
          </w:tcPr>
          <w:p>
            <w:pPr>
              <w:keepNext w:val="0"/>
              <w:keepLines w:val="0"/>
              <w:pageBreakBefore w:val="0"/>
              <w:widowControl/>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493"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是否与其他组织或单位签订应急救援协议或互救协议（包括应急物资、应急装备和救援队伍等情况）</w:t>
            </w:r>
          </w:p>
        </w:tc>
        <w:tc>
          <w:tcPr>
            <w:tcW w:w="2406"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eastAsia="zh-CN"/>
              </w:rPr>
              <w:t>已与</w:t>
            </w:r>
            <w:r>
              <w:rPr>
                <w:rFonts w:hint="default" w:ascii="Times New Roman" w:hAnsi="Times New Roman" w:cs="Times New Roman" w:eastAsiaTheme="minorEastAsia"/>
                <w:color w:val="auto"/>
                <w:sz w:val="21"/>
                <w:szCs w:val="21"/>
                <w:highlight w:val="none"/>
              </w:rPr>
              <w:t>与</w:t>
            </w:r>
            <w:r>
              <w:rPr>
                <w:rFonts w:hint="default" w:ascii="Times New Roman" w:hAnsi="Times New Roman" w:cs="Times New Roman" w:eastAsiaTheme="minorEastAsia"/>
                <w:color w:val="auto"/>
                <w:sz w:val="21"/>
                <w:szCs w:val="21"/>
                <w:highlight w:val="none"/>
                <w:lang w:val="en-US" w:eastAsia="zh-CN"/>
              </w:rPr>
              <w:t>2家</w:t>
            </w:r>
            <w:r>
              <w:rPr>
                <w:rFonts w:hint="default" w:ascii="Times New Roman" w:hAnsi="Times New Roman" w:cs="Times New Roman" w:eastAsiaTheme="minorEastAsia"/>
                <w:color w:val="auto"/>
                <w:sz w:val="21"/>
                <w:szCs w:val="21"/>
                <w:highlight w:val="none"/>
              </w:rPr>
              <w:t>企业签订应急救援互助协议</w:t>
            </w:r>
          </w:p>
        </w:tc>
        <w:tc>
          <w:tcPr>
            <w:tcW w:w="828" w:type="pct"/>
            <w:tcBorders>
              <w:top w:val="single" w:color="auto" w:sz="6" w:space="0"/>
              <w:left w:val="single" w:color="auto" w:sz="6" w:space="0"/>
              <w:bottom w:val="single" w:color="auto" w:sz="6" w:space="0"/>
              <w:right w:val="nil"/>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eastAsia="zh-CN"/>
              </w:rPr>
              <w:t>已签订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71" w:type="pct"/>
            <w:tcBorders>
              <w:top w:val="single" w:color="auto" w:sz="6" w:space="0"/>
              <w:left w:val="nil"/>
              <w:bottom w:val="single" w:color="auto" w:sz="12"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历史经验教训总结</w:t>
            </w:r>
          </w:p>
        </w:tc>
        <w:tc>
          <w:tcPr>
            <w:tcW w:w="1493" w:type="pct"/>
            <w:tcBorders>
              <w:top w:val="single" w:color="auto" w:sz="6" w:space="0"/>
              <w:left w:val="single" w:color="auto" w:sz="6" w:space="0"/>
              <w:bottom w:val="single" w:color="auto" w:sz="12"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分析、总结历史上同类型企业或涉及相同环境风险物质的企业发生突发环境事件的经验教训，对照检查本单位是否有防止类似事件发生的措施</w:t>
            </w:r>
          </w:p>
        </w:tc>
        <w:tc>
          <w:tcPr>
            <w:tcW w:w="2406" w:type="pct"/>
            <w:tcBorders>
              <w:top w:val="single" w:color="auto" w:sz="6" w:space="0"/>
              <w:left w:val="single" w:color="auto" w:sz="6" w:space="0"/>
              <w:bottom w:val="single" w:color="auto" w:sz="12" w:space="0"/>
              <w:right w:val="single" w:color="auto" w:sz="6"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根据历史经验教训企业制定了详细的公司管理制度，针对各单元制定严格的操作规程，如（污水处理操作规程，安全操作规程），生产区十四个不准，进入容器、设备的八个必须，防治违章动火六大禁令，操作工的六严格，机动车辆七大禁令；定期加强职工的安全教育和安全技术训练；加强防火和防护组织及设施，严格事故管理</w:t>
            </w:r>
          </w:p>
        </w:tc>
        <w:tc>
          <w:tcPr>
            <w:tcW w:w="828" w:type="pct"/>
            <w:tcBorders>
              <w:top w:val="single" w:color="auto" w:sz="6" w:space="0"/>
              <w:left w:val="single" w:color="auto" w:sz="6" w:space="0"/>
              <w:bottom w:val="single" w:color="auto" w:sz="12" w:space="0"/>
              <w:right w:val="nil"/>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r>
    </w:tbl>
    <w:p>
      <w:pPr>
        <w:rPr>
          <w:rFonts w:hint="default" w:ascii="Times New Roman" w:hAnsi="Times New Roman" w:eastAsia="宋体" w:cs="Times New Roman"/>
        </w:rPr>
      </w:pPr>
    </w:p>
    <w:p>
      <w:pPr>
        <w:pStyle w:val="21"/>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outlineLvl w:val="0"/>
        <w:rPr>
          <w:rFonts w:hint="default" w:ascii="Times New Roman" w:hAnsi="Times New Roman" w:eastAsia="宋体" w:cs="Times New Roman"/>
          <w:sz w:val="30"/>
          <w:szCs w:val="30"/>
          <w:lang w:val="en-US" w:eastAsia="zh-CN"/>
        </w:rPr>
      </w:pPr>
      <w:bookmarkStart w:id="83" w:name="_Toc25996"/>
      <w:r>
        <w:rPr>
          <w:rFonts w:hint="default" w:ascii="Times New Roman" w:hAnsi="Times New Roman" w:eastAsia="宋体" w:cs="Times New Roman"/>
          <w:sz w:val="30"/>
          <w:szCs w:val="30"/>
          <w:lang w:val="en-US" w:eastAsia="zh-CN"/>
        </w:rPr>
        <w:t>5.</w:t>
      </w:r>
      <w:r>
        <w:rPr>
          <w:rFonts w:hint="eastAsia" w:ascii="Times New Roman" w:hAnsi="Times New Roman" w:eastAsia="宋体" w:cs="Times New Roman"/>
          <w:sz w:val="30"/>
          <w:szCs w:val="30"/>
          <w:lang w:val="en-US" w:eastAsia="zh-CN"/>
        </w:rPr>
        <w:t>3环境应急资源</w:t>
      </w:r>
      <w:bookmarkEnd w:id="83"/>
    </w:p>
    <w:p>
      <w:pPr>
        <w:pStyle w:val="27"/>
        <w:keepNext w:val="0"/>
        <w:keepLines w:val="0"/>
        <w:pageBreakBefore w:val="0"/>
        <w:widowControl w:val="0"/>
        <w:kinsoku/>
        <w:wordWrap/>
        <w:overflowPunct/>
        <w:topLinePunct w:val="0"/>
        <w:autoSpaceDE/>
        <w:autoSpaceDN/>
        <w:bidi w:val="0"/>
        <w:adjustRightInd/>
        <w:snapToGrid/>
        <w:spacing w:before="0" w:beforeLines="0" w:after="0" w:line="360" w:lineRule="auto"/>
        <w:textAlignment w:val="auto"/>
        <w:rPr>
          <w:rFonts w:hint="default" w:ascii="Times New Roman" w:hAnsi="Times New Roman" w:eastAsia="宋体" w:cs="Times New Roman"/>
        </w:rPr>
      </w:pPr>
      <w:r>
        <w:rPr>
          <w:rFonts w:hint="default" w:ascii="Times New Roman" w:hAnsi="Times New Roman" w:eastAsia="宋体" w:cs="Times New Roman"/>
        </w:rPr>
        <w:t>表5.</w:t>
      </w:r>
      <w:r>
        <w:rPr>
          <w:rFonts w:hint="eastAsia" w:ascii="Times New Roman" w:hAnsi="Times New Roman" w:eastAsia="宋体" w:cs="Times New Roman"/>
          <w:lang w:val="en-US" w:eastAsia="zh-CN"/>
        </w:rPr>
        <w:t>3</w:t>
      </w:r>
      <w:r>
        <w:rPr>
          <w:rFonts w:hint="default" w:ascii="Times New Roman" w:hAnsi="Times New Roman" w:eastAsia="宋体" w:cs="Times New Roman"/>
        </w:rPr>
        <w:t>-1  环境应急资源情况</w:t>
      </w:r>
    </w:p>
    <w:tbl>
      <w:tblPr>
        <w:tblStyle w:val="15"/>
        <w:tblW w:w="845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8"/>
        <w:gridCol w:w="4640"/>
        <w:gridCol w:w="317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638" w:type="dxa"/>
            <w:tcBorders>
              <w:top w:val="single" w:color="auto" w:sz="12" w:space="0"/>
            </w:tcBorders>
            <w:noWrap w:val="0"/>
            <w:vAlign w:val="center"/>
          </w:tcPr>
          <w:p>
            <w:pPr>
              <w:pStyle w:val="28"/>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4640" w:type="dxa"/>
            <w:tcBorders>
              <w:top w:val="single" w:color="auto" w:sz="12" w:space="0"/>
            </w:tcBorders>
            <w:noWrap w:val="0"/>
            <w:vAlign w:val="center"/>
          </w:tcPr>
          <w:p>
            <w:pPr>
              <w:pStyle w:val="28"/>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相关要求</w:t>
            </w:r>
          </w:p>
        </w:tc>
        <w:tc>
          <w:tcPr>
            <w:tcW w:w="3174" w:type="dxa"/>
            <w:tcBorders>
              <w:top w:val="single" w:color="auto" w:sz="12" w:space="0"/>
            </w:tcBorders>
            <w:noWrap w:val="0"/>
            <w:vAlign w:val="center"/>
          </w:tcPr>
          <w:p>
            <w:pPr>
              <w:pStyle w:val="28"/>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实际情况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noWrap w:val="0"/>
            <w:vAlign w:val="center"/>
          </w:tcPr>
          <w:p>
            <w:pPr>
              <w:pStyle w:val="28"/>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4640" w:type="dxa"/>
            <w:noWrap w:val="0"/>
            <w:vAlign w:val="center"/>
          </w:tcPr>
          <w:p>
            <w:pPr>
              <w:pStyle w:val="28"/>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配备必要的应急</w:t>
            </w:r>
            <w:r>
              <w:rPr>
                <w:rFonts w:hint="default" w:ascii="Times New Roman" w:hAnsi="Times New Roman" w:eastAsia="宋体" w:cs="Times New Roman"/>
                <w:color w:val="auto"/>
                <w:sz w:val="21"/>
                <w:szCs w:val="21"/>
                <w:highlight w:val="none"/>
                <w:lang w:eastAsia="zh-CN"/>
              </w:rPr>
              <w:t>物资</w:t>
            </w:r>
            <w:r>
              <w:rPr>
                <w:rFonts w:hint="default" w:ascii="Times New Roman" w:hAnsi="Times New Roman" w:eastAsia="宋体" w:cs="Times New Roman"/>
                <w:color w:val="auto"/>
                <w:sz w:val="21"/>
                <w:szCs w:val="21"/>
                <w:highlight w:val="none"/>
              </w:rPr>
              <w:t>和应急装备（包括应急监测）</w:t>
            </w:r>
          </w:p>
        </w:tc>
        <w:tc>
          <w:tcPr>
            <w:tcW w:w="3174" w:type="dxa"/>
            <w:noWrap w:val="0"/>
            <w:vAlign w:val="center"/>
          </w:tcPr>
          <w:p>
            <w:pPr>
              <w:pStyle w:val="28"/>
              <w:keepNext w:val="0"/>
              <w:keepLines w:val="0"/>
              <w:pageBreakBefore w:val="0"/>
              <w:widowControl/>
              <w:kinsoku/>
              <w:wordWrap/>
              <w:overflowPunct/>
              <w:topLinePunct w:val="0"/>
              <w:autoSpaceDE/>
              <w:autoSpaceDN/>
              <w:bidi w:val="0"/>
              <w:adjustRightInd/>
              <w:snapToGrid/>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加强应急监测能力建设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noWrap w:val="0"/>
            <w:vAlign w:val="center"/>
          </w:tcPr>
          <w:p>
            <w:pPr>
              <w:pStyle w:val="28"/>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4640" w:type="dxa"/>
            <w:noWrap w:val="0"/>
            <w:vAlign w:val="center"/>
          </w:tcPr>
          <w:p>
            <w:pPr>
              <w:pStyle w:val="28"/>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设置专职或兼职人员组成的应急救援队伍</w:t>
            </w:r>
          </w:p>
        </w:tc>
        <w:tc>
          <w:tcPr>
            <w:tcW w:w="3174" w:type="dxa"/>
            <w:noWrap w:val="0"/>
            <w:vAlign w:val="center"/>
          </w:tcPr>
          <w:p>
            <w:pPr>
              <w:pStyle w:val="28"/>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已设置应急救援队伍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tcBorders>
              <w:bottom w:val="single" w:color="auto" w:sz="12" w:space="0"/>
            </w:tcBorders>
            <w:noWrap w:val="0"/>
            <w:vAlign w:val="center"/>
          </w:tcPr>
          <w:p>
            <w:pPr>
              <w:pStyle w:val="28"/>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4640" w:type="dxa"/>
            <w:tcBorders>
              <w:bottom w:val="single" w:color="auto" w:sz="12" w:space="0"/>
            </w:tcBorders>
            <w:noWrap w:val="0"/>
            <w:vAlign w:val="center"/>
          </w:tcPr>
          <w:p>
            <w:pPr>
              <w:pStyle w:val="28"/>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与其他组织或单位签订应急救援协议或互救协议（包括应急物质、应急装备和救援队伍等情况）</w:t>
            </w:r>
          </w:p>
        </w:tc>
        <w:tc>
          <w:tcPr>
            <w:tcW w:w="3174" w:type="dxa"/>
            <w:tcBorders>
              <w:bottom w:val="single" w:color="auto" w:sz="12" w:space="0"/>
            </w:tcBorders>
            <w:noWrap w:val="0"/>
            <w:vAlign w:val="center"/>
          </w:tcPr>
          <w:p>
            <w:pPr>
              <w:pStyle w:val="28"/>
              <w:keepNext w:val="0"/>
              <w:keepLines w:val="0"/>
              <w:pageBreakBefore w:val="0"/>
              <w:widowControl/>
              <w:kinsoku/>
              <w:wordWrap/>
              <w:overflowPunct/>
              <w:topLinePunct w:val="0"/>
              <w:autoSpaceDE/>
              <w:autoSpaceDN/>
              <w:bidi w:val="0"/>
              <w:adjustRightInd/>
              <w:snapToGrid/>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已于</w:t>
            </w:r>
            <w:r>
              <w:rPr>
                <w:rFonts w:hint="default" w:ascii="Times New Roman" w:hAnsi="Times New Roman" w:eastAsia="宋体" w:cs="Times New Roman"/>
                <w:color w:val="auto"/>
                <w:sz w:val="21"/>
                <w:szCs w:val="21"/>
              </w:rPr>
              <w:t>九江炼化码头运行部</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新立基沥青有限公司</w:t>
            </w:r>
            <w:r>
              <w:rPr>
                <w:rFonts w:hint="eastAsia" w:ascii="Times New Roman" w:hAnsi="Times New Roman" w:eastAsia="宋体" w:cs="Times New Roman"/>
                <w:color w:val="auto"/>
                <w:sz w:val="21"/>
                <w:szCs w:val="21"/>
                <w:lang w:eastAsia="zh-CN"/>
              </w:rPr>
              <w:t>签订救援协议；应急监测委托具有监测能力的第三方</w:t>
            </w:r>
          </w:p>
        </w:tc>
      </w:tr>
    </w:tbl>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p>
    <w:p>
      <w:pPr>
        <w:pStyle w:val="21"/>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outlineLvl w:val="0"/>
        <w:rPr>
          <w:rFonts w:hint="default" w:ascii="Times New Roman" w:hAnsi="Times New Roman" w:eastAsia="宋体" w:cs="Times New Roman"/>
          <w:sz w:val="30"/>
          <w:szCs w:val="30"/>
          <w:lang w:val="en-US" w:eastAsia="zh-CN"/>
        </w:rPr>
      </w:pPr>
      <w:bookmarkStart w:id="84" w:name="_Toc522097195"/>
      <w:bookmarkStart w:id="85" w:name="_Toc16650"/>
      <w:bookmarkStart w:id="86" w:name="_Toc11270"/>
      <w:r>
        <w:rPr>
          <w:rFonts w:hint="default" w:ascii="Times New Roman" w:hAnsi="Times New Roman" w:eastAsia="宋体" w:cs="Times New Roman"/>
          <w:sz w:val="30"/>
          <w:szCs w:val="30"/>
          <w:lang w:val="en-US" w:eastAsia="zh-CN"/>
        </w:rPr>
        <w:t>5.4需要整改的短期、中期和长期项目内容</w:t>
      </w:r>
      <w:bookmarkEnd w:id="84"/>
      <w:bookmarkEnd w:id="85"/>
      <w:bookmarkEnd w:id="8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针对上述排查的每一项差距和隐患，根据其危害性、紧迫性和治理时间的长短，提出需要完成整改的期限，分别按短期（3个月以内）、中期（3-6个月）和长期（6个月以上）给出。</w:t>
      </w:r>
    </w:p>
    <w:p>
      <w:pPr>
        <w:pStyle w:val="12"/>
        <w:spacing w:line="240" w:lineRule="auto"/>
        <w:jc w:val="center"/>
        <w:rPr>
          <w:rFonts w:hint="default" w:ascii="Times New Roman" w:hAnsi="Times New Roman" w:cs="Times New Roman"/>
          <w:b/>
          <w:bCs/>
          <w:color w:val="auto"/>
          <w:sz w:val="24"/>
          <w:szCs w:val="24"/>
        </w:rPr>
      </w:pPr>
      <w:r>
        <w:rPr>
          <w:rFonts w:hint="default" w:ascii="Times New Roman" w:hAnsi="Times New Roman" w:eastAsia="宋体" w:cs="Times New Roman"/>
          <w:b/>
          <w:bCs/>
          <w:color w:val="auto"/>
          <w:sz w:val="24"/>
          <w:szCs w:val="24"/>
        </w:rPr>
        <w:t>表5.</w:t>
      </w:r>
      <w:r>
        <w:rPr>
          <w:rFonts w:hint="default"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rPr>
        <w:t xml:space="preserve">-1  </w:t>
      </w:r>
      <w:r>
        <w:rPr>
          <w:rFonts w:hint="default" w:ascii="Times New Roman" w:hAnsi="Times New Roman" w:eastAsia="宋体" w:cs="Times New Roman"/>
          <w:b/>
          <w:bCs/>
          <w:color w:val="auto"/>
          <w:sz w:val="24"/>
          <w:szCs w:val="24"/>
          <w:lang w:eastAsia="zh-CN"/>
        </w:rPr>
        <w:t>整改计划一览表</w:t>
      </w:r>
    </w:p>
    <w:tbl>
      <w:tblPr>
        <w:tblStyle w:val="16"/>
        <w:tblW w:w="0" w:type="auto"/>
        <w:tblInd w:w="221"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4410"/>
        <w:gridCol w:w="1344"/>
        <w:gridCol w:w="13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5" w:type="dxa"/>
            <w:tcBorders>
              <w:tl2br w:val="nil"/>
              <w:tr2bl w:val="nil"/>
            </w:tcBorders>
            <w:noWrap w:val="0"/>
            <w:vAlign w:val="center"/>
          </w:tcPr>
          <w:p>
            <w:pPr>
              <w:pStyle w:val="2"/>
              <w:keepNext w:val="0"/>
              <w:keepLines w:val="0"/>
              <w:pageBreakBefore w:val="0"/>
              <w:kinsoku/>
              <w:wordWrap/>
              <w:overflowPunct/>
              <w:topLinePunct w:val="0"/>
              <w:bidi w:val="0"/>
              <w:snapToGrid/>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时间</w:t>
            </w:r>
          </w:p>
        </w:tc>
        <w:tc>
          <w:tcPr>
            <w:tcW w:w="4410" w:type="dxa"/>
            <w:tcBorders>
              <w:tl2br w:val="nil"/>
              <w:tr2bl w:val="nil"/>
            </w:tcBorders>
            <w:noWrap w:val="0"/>
            <w:vAlign w:val="center"/>
          </w:tcPr>
          <w:p>
            <w:pPr>
              <w:pStyle w:val="2"/>
              <w:keepNext w:val="0"/>
              <w:keepLines w:val="0"/>
              <w:pageBreakBefore w:val="0"/>
              <w:kinsoku/>
              <w:wordWrap/>
              <w:overflowPunct/>
              <w:topLinePunct w:val="0"/>
              <w:bidi w:val="0"/>
              <w:snapToGrid/>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内</w:t>
            </w:r>
            <w:r>
              <w:rPr>
                <w:rFonts w:hint="default" w:ascii="Times New Roman" w:hAnsi="Times New Roman" w:eastAsia="宋体" w:cs="Times New Roman"/>
                <w:b/>
                <w:bCs/>
                <w:color w:val="auto"/>
                <w:sz w:val="21"/>
                <w:szCs w:val="21"/>
                <w:vertAlign w:val="baseline"/>
                <w:lang w:val="en-US" w:eastAsia="zh-CN"/>
              </w:rPr>
              <w:t xml:space="preserve">  </w:t>
            </w:r>
            <w:r>
              <w:rPr>
                <w:rFonts w:hint="default" w:ascii="Times New Roman" w:hAnsi="Times New Roman" w:eastAsia="宋体" w:cs="Times New Roman"/>
                <w:b/>
                <w:bCs/>
                <w:color w:val="auto"/>
                <w:sz w:val="21"/>
                <w:szCs w:val="21"/>
                <w:vertAlign w:val="baseline"/>
                <w:lang w:eastAsia="zh-CN"/>
              </w:rPr>
              <w:t>容</w:t>
            </w:r>
          </w:p>
        </w:tc>
        <w:tc>
          <w:tcPr>
            <w:tcW w:w="1344" w:type="dxa"/>
            <w:tcBorders>
              <w:tl2br w:val="nil"/>
              <w:tr2bl w:val="nil"/>
            </w:tcBorders>
            <w:noWrap w:val="0"/>
            <w:vAlign w:val="center"/>
          </w:tcPr>
          <w:p>
            <w:pPr>
              <w:pStyle w:val="2"/>
              <w:keepNext w:val="0"/>
              <w:keepLines w:val="0"/>
              <w:pageBreakBefore w:val="0"/>
              <w:kinsoku/>
              <w:wordWrap/>
              <w:overflowPunct/>
              <w:topLinePunct w:val="0"/>
              <w:bidi w:val="0"/>
              <w:snapToGrid/>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时限</w:t>
            </w:r>
          </w:p>
        </w:tc>
        <w:tc>
          <w:tcPr>
            <w:tcW w:w="1311" w:type="dxa"/>
            <w:tcBorders>
              <w:tl2br w:val="nil"/>
              <w:tr2bl w:val="nil"/>
            </w:tcBorders>
            <w:noWrap w:val="0"/>
            <w:vAlign w:val="center"/>
          </w:tcPr>
          <w:p>
            <w:pPr>
              <w:pStyle w:val="2"/>
              <w:keepNext w:val="0"/>
              <w:keepLines w:val="0"/>
              <w:pageBreakBefore w:val="0"/>
              <w:kinsoku/>
              <w:wordWrap/>
              <w:overflowPunct/>
              <w:topLinePunct w:val="0"/>
              <w:bidi w:val="0"/>
              <w:snapToGrid/>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责任人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5" w:type="dxa"/>
            <w:tcBorders>
              <w:tl2br w:val="nil"/>
              <w:tr2bl w:val="nil"/>
            </w:tcBorders>
            <w:noWrap w:val="0"/>
            <w:vAlign w:val="center"/>
          </w:tcPr>
          <w:p>
            <w:pPr>
              <w:pStyle w:val="2"/>
              <w:keepNext w:val="0"/>
              <w:keepLines w:val="0"/>
              <w:pageBreakBefore w:val="0"/>
              <w:kinsoku/>
              <w:wordWrap/>
              <w:overflowPunct/>
              <w:topLinePunct w:val="0"/>
              <w:bidi w:val="0"/>
              <w:snapToGrid/>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长期计划</w:t>
            </w:r>
          </w:p>
        </w:tc>
        <w:tc>
          <w:tcPr>
            <w:tcW w:w="4410" w:type="dxa"/>
            <w:tcBorders>
              <w:tl2br w:val="nil"/>
              <w:tr2bl w:val="nil"/>
            </w:tcBorders>
            <w:noWrap w:val="0"/>
            <w:vAlign w:val="center"/>
          </w:tcPr>
          <w:p>
            <w:pPr>
              <w:pStyle w:val="2"/>
              <w:keepNext w:val="0"/>
              <w:keepLines w:val="0"/>
              <w:pageBreakBefore w:val="0"/>
              <w:kinsoku/>
              <w:wordWrap/>
              <w:overflowPunct/>
              <w:topLinePunct w:val="0"/>
              <w:bidi w:val="0"/>
              <w:snapToGrid/>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定期对员工开展环境风险和环境应急管理宣传和培训</w:t>
            </w:r>
          </w:p>
        </w:tc>
        <w:tc>
          <w:tcPr>
            <w:tcW w:w="1344" w:type="dxa"/>
            <w:tcBorders>
              <w:tl2br w:val="nil"/>
              <w:tr2bl w:val="nil"/>
            </w:tcBorders>
            <w:noWrap w:val="0"/>
            <w:vAlign w:val="center"/>
          </w:tcPr>
          <w:p>
            <w:pPr>
              <w:pStyle w:val="2"/>
              <w:keepNext w:val="0"/>
              <w:keepLines w:val="0"/>
              <w:pageBreakBefore w:val="0"/>
              <w:kinsoku/>
              <w:wordWrap/>
              <w:overflowPunct/>
              <w:topLinePunct w:val="0"/>
              <w:bidi w:val="0"/>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6个月以上</w:t>
            </w:r>
          </w:p>
        </w:tc>
        <w:tc>
          <w:tcPr>
            <w:tcW w:w="1311" w:type="dxa"/>
            <w:tcBorders>
              <w:tl2br w:val="nil"/>
              <w:tr2bl w:val="nil"/>
            </w:tcBorders>
            <w:noWrap w:val="0"/>
            <w:vAlign w:val="center"/>
          </w:tcPr>
          <w:p>
            <w:pPr>
              <w:pStyle w:val="2"/>
              <w:keepNext w:val="0"/>
              <w:keepLines w:val="0"/>
              <w:pageBreakBefore w:val="0"/>
              <w:kinsoku/>
              <w:wordWrap/>
              <w:overflowPunct/>
              <w:topLinePunct w:val="0"/>
              <w:bidi w:val="0"/>
              <w:snapToGrid/>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b w:val="0"/>
                <w:bCs w:val="0"/>
                <w:kern w:val="0"/>
                <w:sz w:val="21"/>
                <w:szCs w:val="21"/>
                <w:highlight w:val="none"/>
              </w:rPr>
              <w:t>冯建忠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5" w:type="dxa"/>
            <w:tcBorders>
              <w:tl2br w:val="nil"/>
              <w:tr2bl w:val="nil"/>
            </w:tcBorders>
            <w:noWrap w:val="0"/>
            <w:vAlign w:val="center"/>
          </w:tcPr>
          <w:p>
            <w:pPr>
              <w:pStyle w:val="2"/>
              <w:keepNext w:val="0"/>
              <w:keepLines w:val="0"/>
              <w:pageBreakBefore w:val="0"/>
              <w:kinsoku/>
              <w:wordWrap/>
              <w:overflowPunct/>
              <w:topLinePunct w:val="0"/>
              <w:bidi w:val="0"/>
              <w:snapToGrid/>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中期计划</w:t>
            </w:r>
          </w:p>
        </w:tc>
        <w:tc>
          <w:tcPr>
            <w:tcW w:w="44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定期检查厂区防流失措施，并实施修补，</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巡检、维护制度落实。</w:t>
            </w:r>
          </w:p>
        </w:tc>
        <w:tc>
          <w:tcPr>
            <w:tcW w:w="1344" w:type="dxa"/>
            <w:tcBorders>
              <w:tl2br w:val="nil"/>
              <w:tr2bl w:val="nil"/>
            </w:tcBorders>
            <w:noWrap w:val="0"/>
            <w:vAlign w:val="center"/>
          </w:tcPr>
          <w:p>
            <w:pPr>
              <w:pStyle w:val="2"/>
              <w:keepNext w:val="0"/>
              <w:keepLines w:val="0"/>
              <w:pageBreakBefore w:val="0"/>
              <w:kinsoku/>
              <w:wordWrap/>
              <w:overflowPunct/>
              <w:topLinePunct w:val="0"/>
              <w:bidi w:val="0"/>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3~6个月内</w:t>
            </w:r>
          </w:p>
        </w:tc>
        <w:tc>
          <w:tcPr>
            <w:tcW w:w="131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b w:val="0"/>
                <w:bCs w:val="0"/>
                <w:kern w:val="0"/>
                <w:sz w:val="21"/>
                <w:szCs w:val="21"/>
                <w:highlight w:val="none"/>
              </w:rPr>
              <w:t>张镇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5" w:type="dxa"/>
            <w:vMerge w:val="restart"/>
            <w:tcBorders>
              <w:tl2br w:val="nil"/>
              <w:tr2bl w:val="nil"/>
            </w:tcBorders>
            <w:noWrap w:val="0"/>
            <w:vAlign w:val="center"/>
          </w:tcPr>
          <w:p>
            <w:pPr>
              <w:pStyle w:val="2"/>
              <w:keepNext w:val="0"/>
              <w:keepLines w:val="0"/>
              <w:pageBreakBefore w:val="0"/>
              <w:kinsoku/>
              <w:wordWrap/>
              <w:overflowPunct/>
              <w:topLinePunct w:val="0"/>
              <w:bidi w:val="0"/>
              <w:snapToGrid/>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短期计划</w:t>
            </w:r>
          </w:p>
        </w:tc>
        <w:tc>
          <w:tcPr>
            <w:tcW w:w="4410" w:type="dxa"/>
            <w:tcBorders>
              <w:tl2br w:val="nil"/>
              <w:tr2bl w:val="nil"/>
            </w:tcBorders>
            <w:noWrap w:val="0"/>
            <w:vAlign w:val="center"/>
          </w:tcPr>
          <w:p>
            <w:pPr>
              <w:pStyle w:val="2"/>
              <w:keepNext w:val="0"/>
              <w:keepLines w:val="0"/>
              <w:pageBreakBefore w:val="0"/>
              <w:kinsoku/>
              <w:wordWrap/>
              <w:overflowPunct/>
              <w:topLinePunct w:val="0"/>
              <w:bidi w:val="0"/>
              <w:snapToGrid/>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完善化学品仓库、生产车间等标识，明确化学品内容、相关责任人</w:t>
            </w:r>
          </w:p>
        </w:tc>
        <w:tc>
          <w:tcPr>
            <w:tcW w:w="1344" w:type="dxa"/>
            <w:vMerge w:val="restart"/>
            <w:tcBorders>
              <w:tl2br w:val="nil"/>
              <w:tr2bl w:val="nil"/>
            </w:tcBorders>
            <w:noWrap w:val="0"/>
            <w:vAlign w:val="center"/>
          </w:tcPr>
          <w:p>
            <w:pPr>
              <w:pStyle w:val="2"/>
              <w:keepNext w:val="0"/>
              <w:keepLines w:val="0"/>
              <w:pageBreakBefore w:val="0"/>
              <w:kinsoku/>
              <w:wordWrap/>
              <w:overflowPunct/>
              <w:topLinePunct w:val="0"/>
              <w:bidi w:val="0"/>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3个月内</w:t>
            </w:r>
          </w:p>
        </w:tc>
        <w:tc>
          <w:tcPr>
            <w:tcW w:w="131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b w:val="0"/>
                <w:bCs w:val="0"/>
                <w:kern w:val="0"/>
                <w:sz w:val="21"/>
                <w:szCs w:val="21"/>
                <w:highlight w:val="none"/>
              </w:rPr>
              <w:t>丁凯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5" w:type="dxa"/>
            <w:vMerge w:val="continue"/>
            <w:tcBorders>
              <w:tl2br w:val="nil"/>
              <w:tr2bl w:val="nil"/>
            </w:tcBorders>
            <w:noWrap w:val="0"/>
            <w:vAlign w:val="center"/>
          </w:tcPr>
          <w:p>
            <w:pPr>
              <w:pStyle w:val="2"/>
              <w:keepNext w:val="0"/>
              <w:keepLines w:val="0"/>
              <w:pageBreakBefore w:val="0"/>
              <w:kinsoku/>
              <w:wordWrap/>
              <w:overflowPunct/>
              <w:topLinePunct w:val="0"/>
              <w:bidi w:val="0"/>
              <w:snapToGrid/>
              <w:jc w:val="center"/>
              <w:textAlignment w:val="auto"/>
              <w:rPr>
                <w:rFonts w:hint="default" w:ascii="Times New Roman" w:hAnsi="Times New Roman" w:eastAsia="宋体" w:cs="Times New Roman"/>
                <w:color w:val="auto"/>
                <w:sz w:val="21"/>
                <w:szCs w:val="21"/>
                <w:vertAlign w:val="baseline"/>
                <w:lang w:eastAsia="zh-CN"/>
              </w:rPr>
            </w:pPr>
          </w:p>
        </w:tc>
        <w:tc>
          <w:tcPr>
            <w:tcW w:w="4410" w:type="dxa"/>
            <w:tcBorders>
              <w:tl2br w:val="nil"/>
              <w:tr2bl w:val="nil"/>
            </w:tcBorders>
            <w:noWrap w:val="0"/>
            <w:vAlign w:val="center"/>
          </w:tcPr>
          <w:p>
            <w:pPr>
              <w:pStyle w:val="2"/>
              <w:keepNext w:val="0"/>
              <w:keepLines w:val="0"/>
              <w:pageBreakBefore w:val="0"/>
              <w:kinsoku/>
              <w:wordWrap/>
              <w:overflowPunct/>
              <w:topLinePunct w:val="0"/>
              <w:bidi w:val="0"/>
              <w:snapToGrid/>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kern w:val="0"/>
                <w:sz w:val="21"/>
                <w:szCs w:val="21"/>
                <w:lang w:val="en-US" w:eastAsia="zh-CN" w:bidi="ar"/>
              </w:rPr>
              <w:t>完成项目竣工环境保护验收工作</w:t>
            </w:r>
          </w:p>
        </w:tc>
        <w:tc>
          <w:tcPr>
            <w:tcW w:w="1344" w:type="dxa"/>
            <w:vMerge w:val="continue"/>
            <w:tcBorders>
              <w:tl2br w:val="nil"/>
              <w:tr2bl w:val="nil"/>
            </w:tcBorders>
            <w:noWrap w:val="0"/>
            <w:vAlign w:val="center"/>
          </w:tcPr>
          <w:p>
            <w:pPr>
              <w:pStyle w:val="2"/>
              <w:keepNext w:val="0"/>
              <w:keepLines w:val="0"/>
              <w:pageBreakBefore w:val="0"/>
              <w:kinsoku/>
              <w:wordWrap/>
              <w:overflowPunct/>
              <w:topLinePunct w:val="0"/>
              <w:bidi w:val="0"/>
              <w:snapToGrid/>
              <w:jc w:val="center"/>
              <w:textAlignment w:val="auto"/>
              <w:rPr>
                <w:rFonts w:hint="default" w:ascii="Times New Roman" w:hAnsi="Times New Roman" w:eastAsia="宋体" w:cs="Times New Roman"/>
                <w:color w:val="auto"/>
                <w:sz w:val="21"/>
                <w:szCs w:val="21"/>
                <w:vertAlign w:val="baseline"/>
                <w:lang w:val="en-US" w:eastAsia="zh-CN"/>
              </w:rPr>
            </w:pPr>
          </w:p>
        </w:tc>
        <w:tc>
          <w:tcPr>
            <w:tcW w:w="1311" w:type="dxa"/>
            <w:vMerge w:val="continue"/>
            <w:tcBorders>
              <w:tl2br w:val="nil"/>
              <w:tr2bl w:val="nil"/>
            </w:tcBorders>
            <w:noWrap w:val="0"/>
            <w:vAlign w:val="center"/>
          </w:tcPr>
          <w:p>
            <w:pPr>
              <w:pStyle w:val="2"/>
              <w:keepNext w:val="0"/>
              <w:keepLines w:val="0"/>
              <w:pageBreakBefore w:val="0"/>
              <w:kinsoku/>
              <w:wordWrap/>
              <w:overflowPunct/>
              <w:topLinePunct w:val="0"/>
              <w:bidi w:val="0"/>
              <w:snapToGrid/>
              <w:jc w:val="center"/>
              <w:textAlignment w:val="auto"/>
              <w:rPr>
                <w:rFonts w:hint="default" w:ascii="Times New Roman" w:hAnsi="Times New Roman" w:eastAsia="宋体" w:cs="Times New Roman"/>
                <w:color w:val="auto"/>
                <w:sz w:val="21"/>
                <w:szCs w:val="21"/>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长期（6个月以上）：定期对职工开展环境风险和环境应急管理宣传和培训，向周边企业、村落提供本单位有关危险物质特性、应急措施、救援知识等。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中期（3-6个月）：对环境风险防控重点岗位进行定期巡检和维护工作</w:t>
      </w:r>
      <w:r>
        <w:rPr>
          <w:rFonts w:hint="default" w:ascii="Times New Roman" w:hAnsi="Times New Roman" w:eastAsia="宋体" w:cs="Times New Roman"/>
          <w:color w:val="auto"/>
          <w:sz w:val="24"/>
          <w:szCs w:val="24"/>
          <w:lang w:eastAsia="zh-CN"/>
        </w:rPr>
        <w:t>，定期检查厂区防流失措施，并实施修补</w:t>
      </w:r>
      <w:r>
        <w:rPr>
          <w:rFonts w:hint="eastAsia" w:ascii="Times New Roman" w:hAnsi="Times New Roman" w:eastAsia="宋体" w:cs="Times New Roman"/>
          <w:color w:val="auto"/>
          <w:sz w:val="24"/>
          <w:szCs w:val="24"/>
          <w:lang w:eastAsia="zh-CN"/>
        </w:rPr>
        <w:t>。</w:t>
      </w:r>
    </w:p>
    <w:p>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 w:val="24"/>
        </w:rPr>
        <w:t>短期（3个月以内）：</w:t>
      </w:r>
      <w:r>
        <w:rPr>
          <w:rFonts w:hint="default" w:ascii="Times New Roman" w:hAnsi="Times New Roman" w:eastAsia="宋体" w:cs="Times New Roman"/>
          <w:color w:val="auto"/>
          <w:sz w:val="24"/>
          <w:lang w:eastAsia="zh-CN"/>
        </w:rPr>
        <w:t>完善化学品仓库、</w:t>
      </w:r>
      <w:r>
        <w:rPr>
          <w:rFonts w:hint="eastAsia" w:ascii="Times New Roman" w:hAnsi="Times New Roman" w:eastAsia="宋体" w:cs="Times New Roman"/>
          <w:color w:val="auto"/>
          <w:sz w:val="24"/>
          <w:lang w:eastAsia="zh-CN"/>
        </w:rPr>
        <w:t>生产车间</w:t>
      </w:r>
      <w:r>
        <w:rPr>
          <w:rFonts w:hint="default" w:ascii="Times New Roman" w:hAnsi="Times New Roman" w:eastAsia="宋体" w:cs="Times New Roman"/>
          <w:color w:val="auto"/>
          <w:sz w:val="24"/>
          <w:lang w:eastAsia="zh-CN"/>
        </w:rPr>
        <w:t>等标识，明确化学品内容、相关责任人</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szCs w:val="24"/>
          <w:lang w:val="en-US" w:eastAsia="zh-CN"/>
        </w:rPr>
        <w:t>完成项目竣工环境保护验收工作</w:t>
      </w:r>
      <w:r>
        <w:rPr>
          <w:rFonts w:hint="eastAsia" w:ascii="Times New Roman" w:hAnsi="Times New Roman" w:eastAsia="宋体" w:cs="Times New Roman"/>
          <w:color w:val="auto"/>
          <w:sz w:val="24"/>
          <w:lang w:eastAsia="zh-CN"/>
        </w:rPr>
        <w:t>。</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32"/>
          <w:szCs w:val="32"/>
          <w:lang w:val="en-US" w:eastAsia="zh-CN"/>
        </w:rPr>
      </w:pPr>
      <w:bookmarkStart w:id="87" w:name="_Toc31630"/>
      <w:bookmarkStart w:id="88" w:name="_Toc522097196"/>
      <w:bookmarkStart w:id="89" w:name="_Toc12784"/>
      <w:r>
        <w:rPr>
          <w:rFonts w:hint="default" w:ascii="Times New Roman" w:hAnsi="Times New Roman" w:eastAsia="宋体" w:cs="Times New Roman"/>
          <w:b/>
          <w:bCs/>
          <w:sz w:val="32"/>
          <w:szCs w:val="32"/>
          <w:lang w:val="en-US" w:eastAsia="zh-CN"/>
        </w:rPr>
        <w:t>6完善环境风险防控与应急措施的实施计划</w:t>
      </w:r>
      <w:bookmarkEnd w:id="87"/>
      <w:bookmarkEnd w:id="88"/>
      <w:bookmarkEnd w:id="8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为深入贯彻落实科学发展观，进一步完善环境风险防控与应急措施，有效防范和妥善应对突发环境事件，紧紧围绕“全面推进、突出重点、建设队伍、提高素质、搞好演练”的总体思路，结合本公司实际情况，并制定完善环境风险防控与应急措施的实施计划。</w:t>
      </w:r>
    </w:p>
    <w:p>
      <w:pPr>
        <w:pStyle w:val="21"/>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outlineLvl w:val="0"/>
        <w:rPr>
          <w:rFonts w:hint="default" w:ascii="Times New Roman" w:hAnsi="Times New Roman" w:eastAsia="宋体" w:cs="Times New Roman"/>
          <w:sz w:val="30"/>
          <w:szCs w:val="30"/>
          <w:lang w:val="en-US" w:eastAsia="zh-CN"/>
        </w:rPr>
      </w:pPr>
      <w:bookmarkStart w:id="90" w:name="_Toc522097197"/>
      <w:bookmarkStart w:id="91" w:name="_Toc16860"/>
      <w:bookmarkStart w:id="92" w:name="_Toc19035"/>
      <w:r>
        <w:rPr>
          <w:rFonts w:hint="default" w:ascii="Times New Roman" w:hAnsi="Times New Roman" w:eastAsia="宋体" w:cs="Times New Roman"/>
          <w:sz w:val="30"/>
          <w:szCs w:val="30"/>
          <w:lang w:val="en-US" w:eastAsia="zh-CN"/>
        </w:rPr>
        <w:t>6.1进一步完善环境风险管理制度</w:t>
      </w:r>
      <w:bookmarkEnd w:id="90"/>
      <w:bookmarkEnd w:id="91"/>
      <w:bookmarkEnd w:id="92"/>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20</w:t>
      </w:r>
      <w:r>
        <w:rPr>
          <w:rFonts w:hint="eastAsia" w:cs="Times New Roman"/>
          <w:sz w:val="24"/>
          <w:lang w:val="en-US" w:eastAsia="zh-CN"/>
        </w:rPr>
        <w:t>21</w:t>
      </w:r>
      <w:r>
        <w:rPr>
          <w:rFonts w:hint="default" w:ascii="Times New Roman" w:hAnsi="Times New Roman" w:eastAsia="宋体" w:cs="Times New Roman"/>
          <w:sz w:val="24"/>
        </w:rPr>
        <w:t>年，本公司将环境风险防控与应急措施的建设工作作为环境保护工作的一项重要内容狠抓落实。切实加强组织领导，统抓环境风险防控和应急措施工作，全面开展环境风险源调查，加大隐患治理力度，同时，加强环境应急管理的机构建设、组织建设和制度建设。</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一是健全应急管理工作体系，对环境应急管理工作体系进行重新梳理，完善应急管理工作领导小组机构，提高应急指挥体系运转效率；二是认真做好应急值守工作，完善政务值班制度，值班人员坚持24小时坚守岗位，不得擅自离岗，保持信息畅通，确保重大、突发事件得到及时有效处理；三是重点加强环境影响评价审批和建设项目竣工环境保护验收工作中的环境风险评价和风险防范措施的落实。全面落实防范环境风险的责任和要求，构建全防全控的环境应急管理体系。</w:t>
      </w:r>
    </w:p>
    <w:p>
      <w:pPr>
        <w:pStyle w:val="21"/>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outlineLvl w:val="0"/>
        <w:rPr>
          <w:rFonts w:hint="default" w:ascii="Times New Roman" w:hAnsi="Times New Roman" w:eastAsia="宋体" w:cs="Times New Roman"/>
          <w:sz w:val="30"/>
          <w:szCs w:val="30"/>
          <w:lang w:val="en-US" w:eastAsia="zh-CN"/>
        </w:rPr>
      </w:pPr>
      <w:bookmarkStart w:id="93" w:name="_Toc12687"/>
      <w:bookmarkStart w:id="94" w:name="_Toc522097198"/>
      <w:bookmarkStart w:id="95" w:name="_Toc8208"/>
      <w:r>
        <w:rPr>
          <w:rFonts w:hint="default" w:ascii="Times New Roman" w:hAnsi="Times New Roman" w:eastAsia="宋体" w:cs="Times New Roman"/>
          <w:sz w:val="30"/>
          <w:szCs w:val="30"/>
          <w:lang w:val="en-US" w:eastAsia="zh-CN"/>
        </w:rPr>
        <w:t>6.2环境风险防控措施、环境应急能力建设</w:t>
      </w:r>
      <w:bookmarkEnd w:id="93"/>
      <w:bookmarkEnd w:id="94"/>
      <w:bookmarkEnd w:id="95"/>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sz w:val="24"/>
        </w:rPr>
      </w:pPr>
      <w:r>
        <w:rPr>
          <w:rFonts w:hint="eastAsia" w:ascii="Times New Roman" w:hAnsi="Times New Roman" w:eastAsia="宋体" w:cs="Times New Roman"/>
          <w:sz w:val="24"/>
          <w:lang w:val="en-US" w:eastAsia="zh-CN"/>
        </w:rPr>
        <w:t>1、</w:t>
      </w:r>
      <w:r>
        <w:rPr>
          <w:rFonts w:hint="default" w:ascii="Times New Roman" w:hAnsi="Times New Roman" w:eastAsia="宋体" w:cs="Times New Roman"/>
          <w:sz w:val="24"/>
        </w:rPr>
        <w:t>完善突发环境应急预案。</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健全和完善《</w:t>
      </w:r>
      <w:r>
        <w:rPr>
          <w:rFonts w:hint="eastAsia" w:cs="Times New Roman"/>
          <w:sz w:val="24"/>
          <w:lang w:eastAsia="zh-CN"/>
        </w:rPr>
        <w:t>中国石化销售股份有限公司华中分公司九江油库</w:t>
      </w:r>
      <w:r>
        <w:rPr>
          <w:rFonts w:hint="default" w:ascii="Times New Roman" w:hAnsi="Times New Roman" w:eastAsia="宋体" w:cs="Times New Roman"/>
          <w:sz w:val="24"/>
        </w:rPr>
        <w:t>突发环境事件应急预案》，并将预案呈报备案，提高预案科学性、可操作性和有效性。建立职责明确、规范有序、高效运行的应急指挥体系和工作网络，有效预防并及时控制和消除突发环境事故的危害，指导和规范突发环境事故的应急处置工作，提高对突发环境事故的综合防范能力。</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
          <w:sz w:val="24"/>
        </w:rPr>
      </w:pPr>
      <w:r>
        <w:rPr>
          <w:rFonts w:hint="eastAsia" w:ascii="Times New Roman" w:hAnsi="Times New Roman" w:eastAsia="宋体" w:cs="Times New Roman"/>
          <w:sz w:val="24"/>
          <w:lang w:val="en-US" w:eastAsia="zh-CN"/>
        </w:rPr>
        <w:t>2、</w:t>
      </w:r>
      <w:r>
        <w:rPr>
          <w:rFonts w:hint="default" w:ascii="Times New Roman" w:hAnsi="Times New Roman" w:eastAsia="宋体" w:cs="Times New Roman"/>
          <w:sz w:val="24"/>
        </w:rPr>
        <w:t>制定应急演练工作计划，做好处置演练。科学制定应急演练计划，加强应急设备定期维护，督促重点风险源企业储备必要的应急处置物资，确保关键时刻应急设施、设备和物资能充分发挥作用。紧紧围绕本公司环境应急管理工作需要，以保障环境安全最大化为目标，进一步加大环境风险隐患排查和整治力度，加强职能部门职责和企业环境应急能力建设，不断提高应对突发事件能力，有效防范和坚决遏制环境安全事故的发生，确保不发生重特大环境污染事故。通过处置演练，查找问题，及时总结经验，吸取教训，举一反三制定整改措施，及时修订、完善应急预案，增强可操作性。</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sz w:val="24"/>
        </w:rPr>
      </w:pPr>
      <w:r>
        <w:rPr>
          <w:rFonts w:hint="eastAsia" w:ascii="Times New Roman" w:hAnsi="Times New Roman" w:eastAsia="宋体" w:cs="Times New Roman"/>
          <w:sz w:val="24"/>
          <w:lang w:val="en-US" w:eastAsia="zh-CN"/>
        </w:rPr>
        <w:t>3、</w:t>
      </w:r>
      <w:r>
        <w:rPr>
          <w:rFonts w:hint="default" w:ascii="Times New Roman" w:hAnsi="Times New Roman" w:eastAsia="宋体" w:cs="Times New Roman"/>
          <w:sz w:val="24"/>
        </w:rPr>
        <w:t>风险防控措施实施计划</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以下从环境风险管理制度、环境风险防控措施、环境应急能力建设等内容制定加强环境风险防控措施和应急管理的目标、责任人及完成时限。</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sz w:val="24"/>
          <w:highlight w:val="none"/>
          <w:lang w:val="en-US" w:eastAsia="zh-CN"/>
        </w:rPr>
      </w:pPr>
      <w:r>
        <w:rPr>
          <w:rFonts w:hint="eastAsia" w:cs="Times New Roman"/>
          <w:sz w:val="24"/>
          <w:highlight w:val="none"/>
          <w:lang w:val="en-US" w:eastAsia="zh-CN"/>
        </w:rPr>
        <w:t>4、</w:t>
      </w:r>
      <w:r>
        <w:rPr>
          <w:rFonts w:hint="eastAsia" w:cs="Times New Roman"/>
          <w:sz w:val="24"/>
          <w:highlight w:val="none"/>
          <w:lang w:eastAsia="zh-CN"/>
        </w:rPr>
        <w:t>应急演练</w:t>
      </w:r>
      <w:r>
        <w:rPr>
          <w:rFonts w:hint="eastAsia" w:cs="Times New Roman"/>
          <w:sz w:val="24"/>
          <w:highlight w:val="none"/>
          <w:lang w:val="en-US" w:eastAsia="zh-CN"/>
        </w:rPr>
        <w:t>存在问题</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sz w:val="24"/>
          <w:highlight w:val="none"/>
          <w:lang w:eastAsia="zh-CN"/>
        </w:rPr>
      </w:pPr>
      <w:r>
        <w:rPr>
          <w:rFonts w:hint="default" w:ascii="Times New Roman" w:hAnsi="Times New Roman" w:eastAsia="宋体" w:cs="Times New Roman"/>
          <w:sz w:val="24"/>
          <w:highlight w:val="none"/>
        </w:rPr>
        <w:t>根据</w:t>
      </w:r>
      <w:r>
        <w:rPr>
          <w:rFonts w:hint="eastAsia" w:cs="Times New Roman"/>
          <w:sz w:val="24"/>
          <w:highlight w:val="none"/>
          <w:lang w:eastAsia="zh-CN"/>
        </w:rPr>
        <w:t>油库</w:t>
      </w:r>
      <w:r>
        <w:rPr>
          <w:rFonts w:hint="default" w:ascii="Times New Roman" w:hAnsi="Times New Roman" w:eastAsia="宋体" w:cs="Times New Roman"/>
          <w:sz w:val="24"/>
          <w:highlight w:val="none"/>
        </w:rPr>
        <w:t>举行的环境污染事故演练，发现演练存在一些不足，必须引以为戒，及时进行改进和提高。</w:t>
      </w:r>
      <w:r>
        <w:rPr>
          <w:rFonts w:hint="eastAsia" w:cs="Times New Roman"/>
          <w:sz w:val="24"/>
          <w:highlight w:val="none"/>
          <w:lang w:eastAsia="zh-CN"/>
        </w:rPr>
        <w:t>部分应急演练图详见下图。</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sz w:val="24"/>
          <w:highlight w:val="none"/>
        </w:rPr>
      </w:pPr>
      <w:r>
        <w:rPr>
          <w:rFonts w:hint="eastAsia" w:cs="Times New Roman"/>
          <w:sz w:val="24"/>
          <w:highlight w:val="none"/>
          <w:lang w:eastAsia="zh-CN"/>
        </w:rPr>
        <w:t>（</w:t>
      </w:r>
      <w:r>
        <w:rPr>
          <w:rFonts w:hint="eastAsia" w:cs="Times New Roman"/>
          <w:sz w:val="24"/>
          <w:highlight w:val="none"/>
          <w:lang w:val="en-US" w:eastAsia="zh-CN"/>
        </w:rPr>
        <w:t>1</w:t>
      </w:r>
      <w:r>
        <w:rPr>
          <w:rFonts w:hint="eastAsia" w:cs="Times New Roman"/>
          <w:sz w:val="24"/>
          <w:highlight w:val="none"/>
          <w:lang w:eastAsia="zh-CN"/>
        </w:rPr>
        <w:t>）</w:t>
      </w:r>
      <w:r>
        <w:rPr>
          <w:rFonts w:hint="default" w:ascii="Times New Roman" w:hAnsi="Times New Roman" w:eastAsia="宋体" w:cs="Times New Roman"/>
          <w:sz w:val="24"/>
          <w:highlight w:val="none"/>
        </w:rPr>
        <w:t>少数人员对环境污染事故演练预案还不够熟悉，重要性认识不足，导致演练时效果不太理想。</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sz w:val="24"/>
          <w:highlight w:val="none"/>
        </w:rPr>
      </w:pPr>
      <w:r>
        <w:rPr>
          <w:rFonts w:hint="eastAsia" w:cs="Times New Roman"/>
          <w:sz w:val="24"/>
          <w:highlight w:val="none"/>
          <w:lang w:eastAsia="zh-CN"/>
        </w:rPr>
        <w:t>（</w:t>
      </w:r>
      <w:r>
        <w:rPr>
          <w:rFonts w:hint="eastAsia" w:cs="Times New Roman"/>
          <w:sz w:val="24"/>
          <w:highlight w:val="none"/>
          <w:lang w:val="en-US" w:eastAsia="zh-CN"/>
        </w:rPr>
        <w:t>2</w:t>
      </w:r>
      <w:r>
        <w:rPr>
          <w:rFonts w:hint="eastAsia" w:cs="Times New Roman"/>
          <w:sz w:val="24"/>
          <w:highlight w:val="none"/>
          <w:lang w:eastAsia="zh-CN"/>
        </w:rPr>
        <w:t>）</w:t>
      </w:r>
      <w:r>
        <w:rPr>
          <w:rFonts w:hint="default" w:ascii="Times New Roman" w:hAnsi="Times New Roman" w:eastAsia="宋体" w:cs="Times New Roman"/>
          <w:sz w:val="24"/>
          <w:highlight w:val="none"/>
        </w:rPr>
        <w:t>个别参演人员没有进入演练状态，个别人对应急物资。</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sz w:val="24"/>
          <w:highlight w:val="none"/>
        </w:rPr>
      </w:pPr>
      <w:r>
        <w:rPr>
          <w:rFonts w:hint="eastAsia" w:cs="Times New Roman"/>
          <w:sz w:val="24"/>
          <w:highlight w:val="none"/>
          <w:lang w:eastAsia="zh-CN"/>
        </w:rPr>
        <w:t>（</w:t>
      </w:r>
      <w:r>
        <w:rPr>
          <w:rFonts w:hint="eastAsia" w:cs="Times New Roman"/>
          <w:sz w:val="24"/>
          <w:highlight w:val="none"/>
          <w:lang w:val="en-US" w:eastAsia="zh-CN"/>
        </w:rPr>
        <w:t>3</w:t>
      </w:r>
      <w:r>
        <w:rPr>
          <w:rFonts w:hint="eastAsia" w:cs="Times New Roman"/>
          <w:sz w:val="24"/>
          <w:highlight w:val="none"/>
          <w:lang w:eastAsia="zh-CN"/>
        </w:rPr>
        <w:t>）</w:t>
      </w:r>
      <w:r>
        <w:rPr>
          <w:rFonts w:hint="default" w:ascii="Times New Roman" w:hAnsi="Times New Roman" w:eastAsia="宋体" w:cs="Times New Roman"/>
          <w:sz w:val="24"/>
          <w:highlight w:val="none"/>
        </w:rPr>
        <w:t>部分抢险物资数量不够，车辆在运行过程中对抢险人员的人身安全带来一定的影响。</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针对企业需要整改的短期、中期和长期项目，分别制定完善环境风险防控和应急措施的实施计划如下。</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0"/>
        <w:gridCol w:w="4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0" w:type="dxa"/>
          </w:tcPr>
          <w:p>
            <w:pPr>
              <w:rPr>
                <w:rFonts w:hint="eastAsia" w:ascii="Times New Roman" w:hAnsi="Times New Roman" w:eastAsia="宋体" w:cs="Times New Roman"/>
                <w:color w:val="000000"/>
                <w:sz w:val="24"/>
                <w:vertAlign w:val="baseline"/>
                <w:lang w:eastAsia="zh-CN"/>
              </w:rPr>
            </w:pPr>
            <w:r>
              <w:rPr>
                <w:rFonts w:hint="eastAsia" w:ascii="Times New Roman" w:hAnsi="Times New Roman" w:eastAsia="宋体" w:cs="Times New Roman"/>
                <w:color w:val="000000"/>
                <w:sz w:val="24"/>
                <w:vertAlign w:val="baseline"/>
                <w:lang w:eastAsia="zh-CN"/>
              </w:rPr>
              <w:drawing>
                <wp:inline distT="0" distB="0" distL="114300" distR="114300">
                  <wp:extent cx="2948940" cy="2211705"/>
                  <wp:effectExtent l="0" t="0" r="3810" b="17145"/>
                  <wp:docPr id="3" name="图片 3" descr="8e87f72cc2d7a4414092f2f49e81a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e87f72cc2d7a4414092f2f49e81a9e"/>
                          <pic:cNvPicPr>
                            <a:picLocks noChangeAspect="1"/>
                          </pic:cNvPicPr>
                        </pic:nvPicPr>
                        <pic:blipFill>
                          <a:blip r:embed="rId78"/>
                          <a:stretch>
                            <a:fillRect/>
                          </a:stretch>
                        </pic:blipFill>
                        <pic:spPr>
                          <a:xfrm>
                            <a:off x="0" y="0"/>
                            <a:ext cx="2948940" cy="2211705"/>
                          </a:xfrm>
                          <a:prstGeom prst="rect">
                            <a:avLst/>
                          </a:prstGeom>
                        </pic:spPr>
                      </pic:pic>
                    </a:graphicData>
                  </a:graphic>
                </wp:inline>
              </w:drawing>
            </w:r>
          </w:p>
        </w:tc>
        <w:tc>
          <w:tcPr>
            <w:tcW w:w="4871" w:type="dxa"/>
          </w:tcPr>
          <w:p>
            <w:pPr>
              <w:rPr>
                <w:rFonts w:hint="eastAsia" w:ascii="Times New Roman" w:hAnsi="Times New Roman" w:eastAsia="宋体" w:cs="Times New Roman"/>
                <w:color w:val="000000"/>
                <w:sz w:val="24"/>
                <w:vertAlign w:val="baseline"/>
                <w:lang w:eastAsia="zh-CN"/>
              </w:rPr>
            </w:pPr>
            <w:r>
              <w:rPr>
                <w:rFonts w:hint="eastAsia" w:ascii="Times New Roman" w:hAnsi="Times New Roman" w:eastAsia="宋体" w:cs="Times New Roman"/>
                <w:color w:val="000000"/>
                <w:sz w:val="24"/>
                <w:vertAlign w:val="baseline"/>
                <w:lang w:eastAsia="zh-CN"/>
              </w:rPr>
              <w:drawing>
                <wp:inline distT="0" distB="0" distL="114300" distR="114300">
                  <wp:extent cx="2948940" cy="2211705"/>
                  <wp:effectExtent l="0" t="0" r="3810" b="17145"/>
                  <wp:docPr id="4" name="图片 4" descr="59265ebf897bd9993e202b6e88427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9265ebf897bd9993e202b6e88427f5"/>
                          <pic:cNvPicPr>
                            <a:picLocks noChangeAspect="1"/>
                          </pic:cNvPicPr>
                        </pic:nvPicPr>
                        <pic:blipFill>
                          <a:blip r:embed="rId79"/>
                          <a:stretch>
                            <a:fillRect/>
                          </a:stretch>
                        </pic:blipFill>
                        <pic:spPr>
                          <a:xfrm>
                            <a:off x="0" y="0"/>
                            <a:ext cx="2948940" cy="22117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0" w:type="dxa"/>
          </w:tcPr>
          <w:p>
            <w:pPr>
              <w:rPr>
                <w:rFonts w:hint="eastAsia" w:ascii="Times New Roman" w:hAnsi="Times New Roman" w:eastAsia="宋体" w:cs="Times New Roman"/>
                <w:color w:val="000000"/>
                <w:sz w:val="24"/>
                <w:vertAlign w:val="baseline"/>
                <w:lang w:eastAsia="zh-CN"/>
              </w:rPr>
            </w:pPr>
            <w:r>
              <w:rPr>
                <w:rFonts w:hint="eastAsia" w:ascii="Times New Roman" w:hAnsi="Times New Roman" w:eastAsia="宋体" w:cs="Times New Roman"/>
                <w:color w:val="000000"/>
                <w:sz w:val="24"/>
                <w:vertAlign w:val="baseline"/>
                <w:lang w:eastAsia="zh-CN"/>
              </w:rPr>
              <w:drawing>
                <wp:inline distT="0" distB="0" distL="114300" distR="114300">
                  <wp:extent cx="2948940" cy="2211705"/>
                  <wp:effectExtent l="0" t="0" r="3810" b="17145"/>
                  <wp:docPr id="5" name="图片 5" descr="b5e5e0e7dc71abb13a74ae66926c4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5e5e0e7dc71abb13a74ae66926c4ce"/>
                          <pic:cNvPicPr>
                            <a:picLocks noChangeAspect="1"/>
                          </pic:cNvPicPr>
                        </pic:nvPicPr>
                        <pic:blipFill>
                          <a:blip r:embed="rId80"/>
                          <a:stretch>
                            <a:fillRect/>
                          </a:stretch>
                        </pic:blipFill>
                        <pic:spPr>
                          <a:xfrm>
                            <a:off x="0" y="0"/>
                            <a:ext cx="2948940" cy="2211705"/>
                          </a:xfrm>
                          <a:prstGeom prst="rect">
                            <a:avLst/>
                          </a:prstGeom>
                        </pic:spPr>
                      </pic:pic>
                    </a:graphicData>
                  </a:graphic>
                </wp:inline>
              </w:drawing>
            </w:r>
          </w:p>
        </w:tc>
        <w:tc>
          <w:tcPr>
            <w:tcW w:w="4871" w:type="dxa"/>
          </w:tcPr>
          <w:p>
            <w:pPr>
              <w:rPr>
                <w:rFonts w:hint="eastAsia" w:ascii="Times New Roman" w:hAnsi="Times New Roman" w:eastAsia="宋体" w:cs="Times New Roman"/>
                <w:color w:val="000000"/>
                <w:sz w:val="24"/>
                <w:vertAlign w:val="baseline"/>
                <w:lang w:eastAsia="zh-CN"/>
              </w:rPr>
            </w:pPr>
            <w:r>
              <w:rPr>
                <w:rFonts w:hint="eastAsia" w:ascii="Times New Roman" w:hAnsi="Times New Roman" w:eastAsia="宋体" w:cs="Times New Roman"/>
                <w:color w:val="000000"/>
                <w:sz w:val="24"/>
                <w:vertAlign w:val="baseline"/>
                <w:lang w:eastAsia="zh-CN"/>
              </w:rPr>
              <w:drawing>
                <wp:inline distT="0" distB="0" distL="114300" distR="114300">
                  <wp:extent cx="2948940" cy="2211705"/>
                  <wp:effectExtent l="0" t="0" r="3810" b="17145"/>
                  <wp:docPr id="6" name="图片 6" descr="6343a74d7c82a78bb4318c54d98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343a74d7c82a78bb4318c54d980580"/>
                          <pic:cNvPicPr>
                            <a:picLocks noChangeAspect="1"/>
                          </pic:cNvPicPr>
                        </pic:nvPicPr>
                        <pic:blipFill>
                          <a:blip r:embed="rId81"/>
                          <a:stretch>
                            <a:fillRect/>
                          </a:stretch>
                        </pic:blipFill>
                        <pic:spPr>
                          <a:xfrm>
                            <a:off x="0" y="0"/>
                            <a:ext cx="2948940" cy="22117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0" w:type="dxa"/>
          </w:tcPr>
          <w:p>
            <w:pPr>
              <w:rPr>
                <w:rFonts w:hint="eastAsia" w:ascii="Times New Roman" w:hAnsi="Times New Roman" w:eastAsia="宋体" w:cs="Times New Roman"/>
                <w:color w:val="000000"/>
                <w:sz w:val="24"/>
                <w:vertAlign w:val="baseline"/>
                <w:lang w:eastAsia="zh-CN"/>
              </w:rPr>
            </w:pPr>
            <w:r>
              <w:rPr>
                <w:rFonts w:hint="eastAsia" w:ascii="Times New Roman" w:hAnsi="Times New Roman" w:eastAsia="宋体" w:cs="Times New Roman"/>
                <w:color w:val="000000"/>
                <w:sz w:val="24"/>
                <w:vertAlign w:val="baseline"/>
                <w:lang w:eastAsia="zh-CN"/>
              </w:rPr>
              <w:drawing>
                <wp:inline distT="0" distB="0" distL="114300" distR="114300">
                  <wp:extent cx="2948940" cy="2211705"/>
                  <wp:effectExtent l="0" t="0" r="3810" b="17145"/>
                  <wp:docPr id="7" name="图片 7" descr="249b6e744d1a30f8df603dd509603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49b6e744d1a30f8df603dd5096030e"/>
                          <pic:cNvPicPr>
                            <a:picLocks noChangeAspect="1"/>
                          </pic:cNvPicPr>
                        </pic:nvPicPr>
                        <pic:blipFill>
                          <a:blip r:embed="rId82"/>
                          <a:stretch>
                            <a:fillRect/>
                          </a:stretch>
                        </pic:blipFill>
                        <pic:spPr>
                          <a:xfrm>
                            <a:off x="0" y="0"/>
                            <a:ext cx="2948940" cy="2211705"/>
                          </a:xfrm>
                          <a:prstGeom prst="rect">
                            <a:avLst/>
                          </a:prstGeom>
                        </pic:spPr>
                      </pic:pic>
                    </a:graphicData>
                  </a:graphic>
                </wp:inline>
              </w:drawing>
            </w:r>
          </w:p>
        </w:tc>
        <w:tc>
          <w:tcPr>
            <w:tcW w:w="4871" w:type="dxa"/>
          </w:tcPr>
          <w:p>
            <w:pPr>
              <w:rPr>
                <w:rFonts w:hint="default" w:ascii="Times New Roman" w:hAnsi="Times New Roman" w:eastAsia="宋体" w:cs="Times New Roman"/>
                <w:color w:val="000000"/>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9741" w:type="dxa"/>
            <w:gridSpan w:val="2"/>
          </w:tcPr>
          <w:p>
            <w:pPr>
              <w:jc w:val="center"/>
              <w:rPr>
                <w:rFonts w:hint="default" w:ascii="Times New Roman" w:hAnsi="Times New Roman" w:eastAsia="宋体" w:cs="Times New Roman"/>
                <w:color w:val="000000"/>
                <w:sz w:val="24"/>
                <w:vertAlign w:val="baseline"/>
                <w:lang w:val="en-US" w:eastAsia="zh-CN"/>
              </w:rPr>
            </w:pPr>
            <w:r>
              <w:rPr>
                <w:rFonts w:hint="eastAsia" w:cs="Times New Roman"/>
                <w:b/>
                <w:bCs/>
                <w:color w:val="000000"/>
                <w:sz w:val="24"/>
                <w:vertAlign w:val="baseline"/>
                <w:lang w:eastAsia="zh-CN"/>
              </w:rPr>
              <w:t>附图</w:t>
            </w:r>
            <w:r>
              <w:rPr>
                <w:rFonts w:hint="eastAsia" w:cs="Times New Roman"/>
                <w:b/>
                <w:bCs/>
                <w:color w:val="000000"/>
                <w:sz w:val="24"/>
                <w:vertAlign w:val="baseline"/>
                <w:lang w:val="en-US" w:eastAsia="zh-CN"/>
              </w:rPr>
              <w:t xml:space="preserve">  本项目部分现场演练图</w:t>
            </w:r>
          </w:p>
        </w:tc>
      </w:tr>
    </w:tbl>
    <w:p>
      <w:pPr>
        <w:rPr>
          <w:rFonts w:hint="default" w:ascii="Times New Roman" w:hAnsi="Times New Roman" w:eastAsia="宋体" w:cs="Times New Roman"/>
          <w:color w:val="000000"/>
          <w:sz w:val="24"/>
        </w:rPr>
      </w:pPr>
    </w:p>
    <w:p>
      <w:pPr>
        <w:pStyle w:val="13"/>
        <w:rPr>
          <w:rFonts w:hint="default" w:ascii="Times New Roman" w:hAnsi="Times New Roman" w:eastAsia="宋体" w:cs="Times New Roman"/>
          <w:color w:val="000000"/>
          <w:sz w:val="24"/>
        </w:rPr>
      </w:pPr>
    </w:p>
    <w:p>
      <w:pPr>
        <w:pStyle w:val="13"/>
        <w:rPr>
          <w:rFonts w:hint="default" w:ascii="Times New Roman" w:hAnsi="Times New Roman" w:eastAsia="宋体" w:cs="Times New Roman"/>
          <w:color w:val="000000"/>
          <w:sz w:val="24"/>
        </w:rPr>
      </w:pPr>
    </w:p>
    <w:p>
      <w:pPr>
        <w:ind w:firstLine="600"/>
        <w:rPr>
          <w:rFonts w:hint="default" w:ascii="Times New Roman" w:hAnsi="Times New Roman" w:eastAsia="宋体" w:cs="Times New Roman"/>
          <w:kern w:val="0"/>
          <w:sz w:val="30"/>
          <w:szCs w:val="30"/>
        </w:rPr>
        <w:sectPr>
          <w:pgSz w:w="11906" w:h="16838"/>
          <w:pgMar w:top="1134" w:right="1134" w:bottom="1134" w:left="1247" w:header="851" w:footer="992" w:gutter="0"/>
          <w:pgBorders>
            <w:top w:val="none" w:sz="0" w:space="0"/>
            <w:left w:val="none" w:sz="0" w:space="0"/>
            <w:bottom w:val="none" w:sz="0" w:space="0"/>
            <w:right w:val="none" w:sz="0" w:space="0"/>
          </w:pgBorders>
          <w:cols w:space="720" w:num="1"/>
          <w:docGrid w:type="lines" w:linePitch="380" w:charSpace="0"/>
        </w:sectPr>
      </w:pPr>
    </w:p>
    <w:p>
      <w:pPr>
        <w:pStyle w:val="2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32"/>
          <w:szCs w:val="32"/>
          <w:lang w:val="en-US" w:eastAsia="zh-CN"/>
        </w:rPr>
      </w:pPr>
      <w:bookmarkStart w:id="96" w:name="_Toc497"/>
      <w:bookmarkStart w:id="97" w:name="_Toc28173"/>
      <w:bookmarkStart w:id="98" w:name="_Toc10687"/>
      <w:bookmarkStart w:id="99" w:name="_Toc522097199"/>
      <w:bookmarkStart w:id="100" w:name="_Toc14506"/>
      <w:bookmarkStart w:id="101" w:name="_Toc522097212"/>
      <w:bookmarkStart w:id="102" w:name="_Toc521574040"/>
      <w:r>
        <w:rPr>
          <w:rFonts w:hint="default" w:ascii="Times New Roman" w:hAnsi="Times New Roman" w:eastAsia="宋体" w:cs="Times New Roman"/>
          <w:b/>
          <w:bCs/>
          <w:sz w:val="32"/>
          <w:szCs w:val="32"/>
          <w:lang w:val="en-US" w:eastAsia="zh-CN"/>
        </w:rPr>
        <w:t>7企业环境风险等级</w:t>
      </w:r>
      <w:bookmarkEnd w:id="96"/>
      <w:bookmarkEnd w:id="97"/>
      <w:bookmarkEnd w:id="9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sz w:val="24"/>
        </w:rPr>
      </w:pPr>
      <w:r>
        <w:rPr>
          <w:rFonts w:hint="default" w:ascii="Times New Roman" w:hAnsi="Times New Roman" w:eastAsia="宋体" w:cs="Times New Roman"/>
          <w:sz w:val="24"/>
        </w:rPr>
        <w:t>根据《企业突发环境事件风险分级方法》（HJ941-2018），</w:t>
      </w:r>
      <w:r>
        <w:rPr>
          <w:rFonts w:hint="default" w:ascii="Times New Roman" w:hAnsi="Times New Roman" w:eastAsia="宋体" w:cs="Times New Roman"/>
          <w:kern w:val="0"/>
          <w:sz w:val="24"/>
        </w:rPr>
        <w:t>通过定量分析企业生产、加工、使用、存储的所有环境风险物质数量与其临界量的比值（Q），评估工艺过程与环境风险控制水平（M）以及环境风险受体敏感性（E），按照矩阵法对企业突发环境事件风险（以下简称环境风险）等级进行划分。环境风险等级划分为一般环境风险、较大环境风险和重大环境风险三级，分别用蓝色、黄色和红色标识。评估程序见图7-1。</w:t>
      </w:r>
    </w:p>
    <w:p>
      <w:pPr>
        <w:ind w:firstLine="560"/>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5467985" cy="4406265"/>
            <wp:effectExtent l="0" t="0" r="18415" b="13335"/>
            <wp:docPr id="85" name="图片 51" descr="1532164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1" descr="1532164823(1)"/>
                    <pic:cNvPicPr>
                      <a:picLocks noChangeAspect="1"/>
                    </pic:cNvPicPr>
                  </pic:nvPicPr>
                  <pic:blipFill>
                    <a:blip r:embed="rId83"/>
                    <a:stretch>
                      <a:fillRect/>
                    </a:stretch>
                  </pic:blipFill>
                  <pic:spPr>
                    <a:xfrm>
                      <a:off x="0" y="0"/>
                      <a:ext cx="5467985" cy="44062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kern w:val="0"/>
          <w:sz w:val="24"/>
        </w:rPr>
      </w:pPr>
      <w:r>
        <w:rPr>
          <w:rFonts w:hint="default" w:ascii="Times New Roman" w:hAnsi="Times New Roman" w:eastAsia="宋体" w:cs="Times New Roman"/>
          <w:b/>
          <w:sz w:val="24"/>
        </w:rPr>
        <w:t>图7-1</w:t>
      </w:r>
      <w:r>
        <w:rPr>
          <w:rFonts w:hint="eastAsia" w:ascii="Times New Roman" w:hAnsi="Times New Roman" w:eastAsia="宋体" w:cs="Times New Roman"/>
          <w:b/>
          <w:sz w:val="24"/>
          <w:lang w:val="en-US" w:eastAsia="zh-CN"/>
        </w:rPr>
        <w:t xml:space="preserve">  </w:t>
      </w:r>
      <w:r>
        <w:rPr>
          <w:rFonts w:hint="default" w:ascii="Times New Roman" w:hAnsi="Times New Roman" w:eastAsia="宋体" w:cs="Times New Roman"/>
          <w:b/>
          <w:sz w:val="24"/>
        </w:rPr>
        <w:t>突发环境事件风险分级流程示意</w:t>
      </w:r>
      <w:r>
        <w:rPr>
          <w:rFonts w:hint="default" w:ascii="Times New Roman" w:hAnsi="Times New Roman" w:eastAsia="宋体" w:cs="Times New Roman"/>
          <w:b/>
          <w:kern w:val="0"/>
          <w:sz w:val="24"/>
        </w:rPr>
        <w:t>图</w:t>
      </w:r>
    </w:p>
    <w:p>
      <w:pPr>
        <w:pStyle w:val="21"/>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outlineLvl w:val="0"/>
        <w:rPr>
          <w:rFonts w:hint="default" w:ascii="Times New Roman" w:hAnsi="Times New Roman" w:eastAsia="宋体" w:cs="Times New Roman"/>
          <w:sz w:val="30"/>
          <w:szCs w:val="30"/>
        </w:rPr>
      </w:pPr>
      <w:bookmarkStart w:id="103" w:name="_Toc30011"/>
      <w:r>
        <w:rPr>
          <w:rFonts w:hint="eastAsia" w:eastAsia="宋体" w:cs="Times New Roman"/>
          <w:sz w:val="30"/>
          <w:szCs w:val="30"/>
          <w:lang w:val="en-US" w:eastAsia="zh-CN"/>
        </w:rPr>
        <w:t>7</w:t>
      </w:r>
      <w:r>
        <w:rPr>
          <w:rFonts w:hint="default" w:ascii="Times New Roman" w:hAnsi="Times New Roman" w:eastAsia="宋体" w:cs="Times New Roman"/>
          <w:sz w:val="30"/>
          <w:szCs w:val="30"/>
        </w:rPr>
        <w:t>.1</w:t>
      </w:r>
      <w:r>
        <w:rPr>
          <w:rFonts w:hint="default" w:ascii="Times New Roman" w:hAnsi="Times New Roman" w:eastAsia="宋体" w:cs="Times New Roman"/>
          <w:sz w:val="30"/>
          <w:szCs w:val="30"/>
          <w:lang w:val="en-US" w:eastAsia="zh-CN"/>
        </w:rPr>
        <w:t>突发大气环境事件风险分级</w:t>
      </w:r>
      <w:bookmarkEnd w:id="103"/>
    </w:p>
    <w:p>
      <w:pPr>
        <w:pStyle w:val="22"/>
        <w:keepNext w:val="0"/>
        <w:keepLines w:val="0"/>
        <w:pageBreakBefore w:val="0"/>
        <w:widowControl w:val="0"/>
        <w:kinsoku/>
        <w:wordWrap/>
        <w:overflowPunct/>
        <w:topLinePunct w:val="0"/>
        <w:autoSpaceDE/>
        <w:autoSpaceDN/>
        <w:bidi w:val="0"/>
        <w:adjustRightInd/>
        <w:snapToGrid/>
        <w:spacing w:before="0" w:beforeLines="0" w:after="0" w:afterLines="0"/>
        <w:textAlignment w:val="auto"/>
        <w:outlineLvl w:val="1"/>
        <w:rPr>
          <w:rFonts w:hint="eastAsia" w:ascii="Times New Roman" w:hAnsi="Times New Roman" w:eastAsia="宋体" w:cs="Times New Roman"/>
          <w:lang w:eastAsia="zh-CN"/>
        </w:rPr>
      </w:pPr>
      <w:bookmarkStart w:id="104" w:name="_Toc32352"/>
      <w:r>
        <w:rPr>
          <w:rFonts w:hint="eastAsia" w:eastAsia="宋体" w:cs="Times New Roman"/>
          <w:lang w:val="en-US" w:eastAsia="zh-CN"/>
        </w:rPr>
        <w:t>7.</w:t>
      </w:r>
      <w:r>
        <w:rPr>
          <w:rFonts w:hint="eastAsia" w:ascii="Times New Roman" w:hAnsi="Times New Roman" w:eastAsia="宋体" w:cs="Times New Roman"/>
          <w:lang w:val="en-US" w:eastAsia="zh-CN"/>
        </w:rPr>
        <w:t>1</w:t>
      </w:r>
      <w:r>
        <w:rPr>
          <w:rFonts w:hint="default" w:ascii="Times New Roman" w:hAnsi="Times New Roman" w:eastAsia="宋体" w:cs="Times New Roman"/>
        </w:rPr>
        <w:t>.1</w:t>
      </w:r>
      <w:r>
        <w:rPr>
          <w:rFonts w:hint="default" w:ascii="Times New Roman" w:hAnsi="Times New Roman" w:eastAsia="宋体" w:cs="Times New Roman"/>
          <w:lang w:val="en-US" w:eastAsia="zh-CN"/>
        </w:rPr>
        <w:t>大气环境风险物质数量与其临界量比值（Q）</w:t>
      </w:r>
      <w:bookmarkEnd w:id="104"/>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kern w:val="0"/>
          <w:sz w:val="24"/>
          <w:szCs w:val="24"/>
          <w:highlight w:val="none"/>
        </w:rPr>
      </w:pPr>
      <w:r>
        <w:rPr>
          <w:rFonts w:hint="default" w:ascii="Times New Roman" w:hAnsi="Times New Roman" w:cs="Times New Roman" w:eastAsiaTheme="minorEastAsia"/>
          <w:color w:val="auto"/>
          <w:kern w:val="0"/>
          <w:sz w:val="24"/>
          <w:szCs w:val="24"/>
          <w:highlight w:val="none"/>
        </w:rPr>
        <w:t>针对企业的生产原料、产品、“三废”污染物等，列表说明下列内容：物质名称，化学文摘号（CAS 号），目前数量和可能存在的最大数量，在正常使用和事故状态下的物理、化学性质、毒理学特性、对人体和环境的急性和慢性危害、伴生/次生物质，以及基本应急处置方法等，对照附录A标明是否为环境风险物质。</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kern w:val="0"/>
          <w:sz w:val="24"/>
          <w:szCs w:val="24"/>
          <w:highlight w:val="none"/>
        </w:rPr>
      </w:pPr>
      <w:r>
        <w:rPr>
          <w:rFonts w:hint="default" w:ascii="Times New Roman" w:hAnsi="Times New Roman" w:cs="Times New Roman" w:eastAsiaTheme="minorEastAsia"/>
          <w:color w:val="auto"/>
          <w:kern w:val="0"/>
          <w:sz w:val="24"/>
          <w:szCs w:val="24"/>
          <w:highlight w:val="none"/>
        </w:rPr>
        <w:t>计算所涉及的每种环境风险物质在厂界内的最大存在总量（如存在总量呈动态变化，则按公历年度内某一天最大存在总量计算；在不同厂区的同一种物质，按其在厂界内的最大存在总量计算）与其在附录A 中对应的临界量的比值Q：</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kern w:val="0"/>
          <w:sz w:val="24"/>
          <w:szCs w:val="24"/>
          <w:highlight w:val="none"/>
        </w:rPr>
      </w:pPr>
      <w:r>
        <w:rPr>
          <w:rFonts w:hint="default" w:ascii="Times New Roman" w:hAnsi="Times New Roman" w:cs="Times New Roman" w:eastAsiaTheme="minorEastAsia"/>
          <w:color w:val="auto"/>
          <w:kern w:val="0"/>
          <w:sz w:val="24"/>
          <w:szCs w:val="24"/>
          <w:highlight w:val="none"/>
        </w:rPr>
        <w:t>①当企业只涉及一种环境风险物质时，计算该物质的总数量</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kern w:val="0"/>
          <w:sz w:val="24"/>
          <w:szCs w:val="24"/>
          <w:highlight w:val="none"/>
        </w:rPr>
      </w:pPr>
      <w:r>
        <w:rPr>
          <w:rFonts w:hint="default" w:ascii="Times New Roman" w:hAnsi="Times New Roman" w:cs="Times New Roman" w:eastAsiaTheme="minorEastAsia"/>
          <w:color w:val="auto"/>
          <w:kern w:val="0"/>
          <w:sz w:val="24"/>
          <w:szCs w:val="24"/>
          <w:highlight w:val="none"/>
        </w:rPr>
        <w:t>与其临界量比值，即为Q；</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kern w:val="0"/>
          <w:sz w:val="24"/>
          <w:szCs w:val="24"/>
          <w:highlight w:val="none"/>
        </w:rPr>
      </w:pPr>
      <w:r>
        <w:rPr>
          <w:rFonts w:hint="default" w:ascii="Times New Roman" w:hAnsi="Times New Roman" w:cs="Times New Roman" w:eastAsiaTheme="minorEastAsia"/>
          <w:color w:val="auto"/>
          <w:kern w:val="0"/>
          <w:sz w:val="24"/>
          <w:szCs w:val="24"/>
          <w:highlight w:val="none"/>
        </w:rPr>
        <w:t>②当企业存在多种环境风险物质时，则按式（1）计算物质</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kern w:val="0"/>
          <w:sz w:val="24"/>
          <w:szCs w:val="24"/>
          <w:highlight w:val="none"/>
        </w:rPr>
      </w:pPr>
      <w:r>
        <w:rPr>
          <w:rFonts w:hint="default" w:ascii="Times New Roman" w:hAnsi="Times New Roman" w:cs="Times New Roman" w:eastAsiaTheme="minorEastAsia"/>
          <w:color w:val="auto"/>
          <w:kern w:val="0"/>
          <w:sz w:val="24"/>
          <w:szCs w:val="24"/>
          <w:highlight w:val="none"/>
        </w:rPr>
        <w:t>数量与其临界量比值（Q）：</w:t>
      </w:r>
    </w:p>
    <w:p>
      <w:pPr>
        <w:ind w:firstLine="48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drawing>
          <wp:inline distT="0" distB="0" distL="114300" distR="114300">
            <wp:extent cx="3508375" cy="457200"/>
            <wp:effectExtent l="0" t="0" r="15875" b="0"/>
            <wp:docPr id="8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5"/>
                    <pic:cNvPicPr>
                      <a:picLocks noChangeAspect="1"/>
                    </pic:cNvPicPr>
                  </pic:nvPicPr>
                  <pic:blipFill>
                    <a:blip r:embed="rId84"/>
                    <a:stretch>
                      <a:fillRect/>
                    </a:stretch>
                  </pic:blipFill>
                  <pic:spPr>
                    <a:xfrm>
                      <a:off x="0" y="0"/>
                      <a:ext cx="3508375" cy="457200"/>
                    </a:xfrm>
                    <a:prstGeom prst="rect">
                      <a:avLst/>
                    </a:prstGeom>
                    <a:noFill/>
                    <a:ln>
                      <a:noFill/>
                    </a:ln>
                  </pic:spPr>
                </pic:pic>
              </a:graphicData>
            </a:graphic>
          </wp:inline>
        </w:drawing>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式中：</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w</w:t>
      </w:r>
      <w:r>
        <w:rPr>
          <w:rFonts w:hint="default" w:ascii="Times New Roman" w:hAnsi="Times New Roman" w:eastAsia="宋体" w:cs="Times New Roman"/>
          <w:color w:val="auto"/>
          <w:kern w:val="0"/>
          <w:sz w:val="24"/>
          <w:szCs w:val="24"/>
          <w:vertAlign w:val="subscript"/>
        </w:rPr>
        <w:t>1</w:t>
      </w:r>
      <w:r>
        <w:rPr>
          <w:rFonts w:hint="default" w:ascii="Times New Roman" w:hAnsi="Times New Roman" w:eastAsia="宋体" w:cs="Times New Roman"/>
          <w:color w:val="auto"/>
          <w:kern w:val="0"/>
          <w:sz w:val="24"/>
          <w:szCs w:val="24"/>
        </w:rPr>
        <w:t>，w</w:t>
      </w:r>
      <w:r>
        <w:rPr>
          <w:rFonts w:hint="default" w:ascii="Times New Roman" w:hAnsi="Times New Roman" w:eastAsia="宋体" w:cs="Times New Roman"/>
          <w:color w:val="auto"/>
          <w:kern w:val="0"/>
          <w:sz w:val="24"/>
          <w:szCs w:val="24"/>
          <w:vertAlign w:val="subscript"/>
        </w:rPr>
        <w:t>2</w:t>
      </w:r>
      <w:r>
        <w:rPr>
          <w:rFonts w:hint="default" w:ascii="Times New Roman" w:hAnsi="Times New Roman" w:eastAsia="宋体" w:cs="Times New Roman"/>
          <w:color w:val="auto"/>
          <w:kern w:val="0"/>
          <w:sz w:val="24"/>
          <w:szCs w:val="24"/>
        </w:rPr>
        <w:t>……w</w:t>
      </w:r>
      <w:r>
        <w:rPr>
          <w:rFonts w:hint="default" w:ascii="Times New Roman" w:hAnsi="Times New Roman" w:eastAsia="宋体" w:cs="Times New Roman"/>
          <w:color w:val="auto"/>
          <w:kern w:val="0"/>
          <w:sz w:val="24"/>
          <w:szCs w:val="24"/>
          <w:vertAlign w:val="subscript"/>
        </w:rPr>
        <w:t>n</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color w:val="auto"/>
          <w:sz w:val="24"/>
          <w:szCs w:val="24"/>
        </w:rPr>
        <w:t>每种环境风险物质的最大存在总量，</w:t>
      </w:r>
      <w:r>
        <w:rPr>
          <w:rFonts w:hint="default" w:ascii="Times New Roman" w:hAnsi="Times New Roman" w:eastAsia="宋体" w:cs="Times New Roman"/>
          <w:color w:val="auto"/>
          <w:kern w:val="0"/>
          <w:sz w:val="24"/>
          <w:szCs w:val="24"/>
        </w:rPr>
        <w:t>单位为t；</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kern w:val="0"/>
          <w:sz w:val="24"/>
          <w:szCs w:val="24"/>
          <w:highlight w:val="none"/>
        </w:rPr>
      </w:pPr>
      <w:r>
        <w:rPr>
          <w:rFonts w:hint="default" w:ascii="Times New Roman" w:hAnsi="Times New Roman" w:cs="Times New Roman" w:eastAsiaTheme="minorEastAsia"/>
          <w:color w:val="auto"/>
          <w:kern w:val="0"/>
          <w:sz w:val="24"/>
          <w:szCs w:val="24"/>
          <w:highlight w:val="none"/>
        </w:rPr>
        <w:t>Q</w:t>
      </w:r>
      <w:r>
        <w:rPr>
          <w:rFonts w:hint="default" w:ascii="Times New Roman" w:hAnsi="Times New Roman" w:cs="Times New Roman" w:eastAsiaTheme="minorEastAsia"/>
          <w:color w:val="auto"/>
          <w:kern w:val="0"/>
          <w:sz w:val="24"/>
          <w:szCs w:val="24"/>
          <w:highlight w:val="none"/>
          <w:vertAlign w:val="subscript"/>
        </w:rPr>
        <w:t>1</w:t>
      </w:r>
      <w:r>
        <w:rPr>
          <w:rFonts w:hint="default" w:ascii="Times New Roman" w:hAnsi="Times New Roman" w:cs="Times New Roman" w:eastAsiaTheme="minorEastAsia"/>
          <w:color w:val="auto"/>
          <w:kern w:val="0"/>
          <w:sz w:val="24"/>
          <w:szCs w:val="24"/>
          <w:highlight w:val="none"/>
        </w:rPr>
        <w:t>，Q</w:t>
      </w:r>
      <w:r>
        <w:rPr>
          <w:rFonts w:hint="default" w:ascii="Times New Roman" w:hAnsi="Times New Roman" w:cs="Times New Roman" w:eastAsiaTheme="minorEastAsia"/>
          <w:color w:val="auto"/>
          <w:kern w:val="0"/>
          <w:sz w:val="24"/>
          <w:szCs w:val="24"/>
          <w:highlight w:val="none"/>
          <w:vertAlign w:val="subscript"/>
        </w:rPr>
        <w:t>2</w:t>
      </w:r>
      <w:r>
        <w:rPr>
          <w:rFonts w:hint="default" w:ascii="Times New Roman" w:hAnsi="Times New Roman" w:cs="Times New Roman" w:eastAsiaTheme="minorEastAsia"/>
          <w:color w:val="auto"/>
          <w:kern w:val="0"/>
          <w:sz w:val="24"/>
          <w:szCs w:val="24"/>
          <w:highlight w:val="none"/>
        </w:rPr>
        <w:t>……Q</w:t>
      </w:r>
      <w:r>
        <w:rPr>
          <w:rFonts w:hint="default" w:ascii="Times New Roman" w:hAnsi="Times New Roman" w:cs="Times New Roman" w:eastAsiaTheme="minorEastAsia"/>
          <w:color w:val="auto"/>
          <w:kern w:val="0"/>
          <w:sz w:val="24"/>
          <w:szCs w:val="24"/>
          <w:highlight w:val="none"/>
          <w:vertAlign w:val="subscript"/>
        </w:rPr>
        <w:t>n</w:t>
      </w:r>
      <w:r>
        <w:rPr>
          <w:rFonts w:hint="default" w:ascii="Times New Roman" w:hAnsi="Times New Roman" w:cs="Times New Roman" w:eastAsiaTheme="minorEastAsia"/>
          <w:color w:val="auto"/>
          <w:kern w:val="0"/>
          <w:sz w:val="24"/>
          <w:szCs w:val="24"/>
          <w:highlight w:val="none"/>
        </w:rPr>
        <w:t>——</w:t>
      </w:r>
      <w:r>
        <w:rPr>
          <w:rFonts w:hint="default" w:ascii="Times New Roman" w:hAnsi="Times New Roman" w:cs="Times New Roman" w:eastAsiaTheme="minorEastAsia"/>
          <w:color w:val="auto"/>
          <w:sz w:val="24"/>
          <w:szCs w:val="24"/>
          <w:highlight w:val="none"/>
        </w:rPr>
        <w:t>每种环境风险物质的临界量，</w:t>
      </w:r>
      <w:r>
        <w:rPr>
          <w:rFonts w:hint="default" w:ascii="Times New Roman" w:hAnsi="Times New Roman" w:cs="Times New Roman" w:eastAsiaTheme="minorEastAsia"/>
          <w:color w:val="auto"/>
          <w:kern w:val="0"/>
          <w:sz w:val="24"/>
          <w:szCs w:val="24"/>
          <w:highlight w:val="none"/>
        </w:rPr>
        <w:t>单位为t。</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kern w:val="0"/>
          <w:sz w:val="24"/>
          <w:szCs w:val="24"/>
          <w:highlight w:val="none"/>
        </w:rPr>
      </w:pPr>
      <w:r>
        <w:rPr>
          <w:rFonts w:hint="default" w:ascii="Times New Roman" w:hAnsi="Times New Roman" w:cs="Times New Roman" w:eastAsiaTheme="minorEastAsia"/>
          <w:color w:val="auto"/>
          <w:kern w:val="0"/>
          <w:sz w:val="24"/>
          <w:szCs w:val="24"/>
          <w:highlight w:val="none"/>
        </w:rPr>
        <w:t>当Q＜1 时，企业直接评为一般环境风险等级，以Q</w:t>
      </w:r>
      <w:r>
        <w:rPr>
          <w:rFonts w:hint="default" w:ascii="Times New Roman" w:hAnsi="Times New Roman" w:cs="Times New Roman" w:eastAsiaTheme="minorEastAsia"/>
          <w:color w:val="auto"/>
          <w:kern w:val="0"/>
          <w:sz w:val="24"/>
          <w:szCs w:val="24"/>
          <w:highlight w:val="none"/>
          <w:vertAlign w:val="subscript"/>
        </w:rPr>
        <w:t xml:space="preserve">0 </w:t>
      </w:r>
      <w:r>
        <w:rPr>
          <w:rFonts w:hint="default" w:ascii="Times New Roman" w:hAnsi="Times New Roman" w:cs="Times New Roman" w:eastAsiaTheme="minorEastAsia"/>
          <w:color w:val="auto"/>
          <w:kern w:val="0"/>
          <w:sz w:val="24"/>
          <w:szCs w:val="24"/>
          <w:highlight w:val="none"/>
        </w:rPr>
        <w:t>表示。</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kern w:val="0"/>
          <w:sz w:val="24"/>
          <w:szCs w:val="24"/>
          <w:highlight w:val="none"/>
        </w:rPr>
      </w:pPr>
      <w:r>
        <w:rPr>
          <w:rFonts w:hint="default" w:ascii="Times New Roman" w:hAnsi="Times New Roman" w:cs="Times New Roman" w:eastAsiaTheme="minorEastAsia"/>
          <w:color w:val="auto"/>
          <w:kern w:val="0"/>
          <w:sz w:val="24"/>
          <w:szCs w:val="24"/>
          <w:highlight w:val="none"/>
        </w:rPr>
        <w:t>当Q≥1 时，将Q 值划分为：（1）1≤Q＜10；（2）10≤Q＜100；（3）Q≥100，分别以Q</w:t>
      </w:r>
      <w:r>
        <w:rPr>
          <w:rFonts w:hint="default" w:ascii="Times New Roman" w:hAnsi="Times New Roman" w:cs="Times New Roman" w:eastAsiaTheme="minorEastAsia"/>
          <w:color w:val="auto"/>
          <w:kern w:val="0"/>
          <w:sz w:val="24"/>
          <w:szCs w:val="24"/>
          <w:highlight w:val="none"/>
          <w:vertAlign w:val="subscript"/>
        </w:rPr>
        <w:t>1</w:t>
      </w:r>
      <w:r>
        <w:rPr>
          <w:rFonts w:hint="default" w:ascii="Times New Roman" w:hAnsi="Times New Roman" w:cs="Times New Roman" w:eastAsiaTheme="minorEastAsia"/>
          <w:color w:val="auto"/>
          <w:kern w:val="0"/>
          <w:sz w:val="24"/>
          <w:szCs w:val="24"/>
          <w:highlight w:val="none"/>
        </w:rPr>
        <w:t>、Q</w:t>
      </w:r>
      <w:r>
        <w:rPr>
          <w:rFonts w:hint="default" w:ascii="Times New Roman" w:hAnsi="Times New Roman" w:cs="Times New Roman" w:eastAsiaTheme="minorEastAsia"/>
          <w:color w:val="auto"/>
          <w:kern w:val="0"/>
          <w:sz w:val="24"/>
          <w:szCs w:val="24"/>
          <w:highlight w:val="none"/>
          <w:vertAlign w:val="subscript"/>
        </w:rPr>
        <w:t>2</w:t>
      </w:r>
      <w:r>
        <w:rPr>
          <w:rFonts w:hint="default" w:ascii="Times New Roman" w:hAnsi="Times New Roman" w:cs="Times New Roman" w:eastAsiaTheme="minorEastAsia"/>
          <w:color w:val="auto"/>
          <w:kern w:val="0"/>
          <w:sz w:val="24"/>
          <w:szCs w:val="24"/>
          <w:highlight w:val="none"/>
        </w:rPr>
        <w:t>和Q</w:t>
      </w:r>
      <w:r>
        <w:rPr>
          <w:rFonts w:hint="default" w:ascii="Times New Roman" w:hAnsi="Times New Roman" w:cs="Times New Roman" w:eastAsiaTheme="minorEastAsia"/>
          <w:color w:val="auto"/>
          <w:kern w:val="0"/>
          <w:sz w:val="24"/>
          <w:szCs w:val="24"/>
          <w:highlight w:val="none"/>
          <w:vertAlign w:val="subscript"/>
        </w:rPr>
        <w:t>3</w:t>
      </w:r>
      <w:r>
        <w:rPr>
          <w:rFonts w:hint="default" w:ascii="Times New Roman" w:hAnsi="Times New Roman" w:cs="Times New Roman" w:eastAsiaTheme="minorEastAsia"/>
          <w:color w:val="auto"/>
          <w:kern w:val="0"/>
          <w:sz w:val="24"/>
          <w:szCs w:val="24"/>
          <w:highlight w:val="none"/>
        </w:rPr>
        <w:t>表示。</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auto"/>
          <w:kern w:val="0"/>
          <w:sz w:val="24"/>
          <w:szCs w:val="24"/>
          <w:highlight w:val="none"/>
          <w:lang w:eastAsia="zh-CN"/>
        </w:rPr>
      </w:pPr>
      <w:r>
        <w:rPr>
          <w:rFonts w:hint="default" w:ascii="Times New Roman" w:hAnsi="Times New Roman" w:cs="Times New Roman" w:eastAsiaTheme="minorEastAsia"/>
          <w:color w:val="auto"/>
          <w:kern w:val="0"/>
          <w:sz w:val="24"/>
          <w:szCs w:val="24"/>
          <w:highlight w:val="none"/>
        </w:rPr>
        <w:t>根据化学品储存的具体情况，本</w:t>
      </w:r>
      <w:r>
        <w:rPr>
          <w:rFonts w:hint="eastAsia" w:cs="Times New Roman" w:eastAsiaTheme="minorEastAsia"/>
          <w:color w:val="auto"/>
          <w:kern w:val="0"/>
          <w:sz w:val="24"/>
          <w:szCs w:val="24"/>
          <w:highlight w:val="none"/>
          <w:lang w:eastAsia="zh-CN"/>
        </w:rPr>
        <w:t>项目</w:t>
      </w:r>
      <w:r>
        <w:rPr>
          <w:rFonts w:hint="eastAsia" w:ascii="Times New Roman" w:hAnsi="Times New Roman" w:eastAsia="宋体" w:cs="Times New Roman"/>
          <w:kern w:val="0"/>
          <w:sz w:val="24"/>
          <w:szCs w:val="24"/>
          <w:lang w:val="en-US" w:eastAsia="zh-CN"/>
        </w:rPr>
        <w:t>设置的16个储罐主要存储的为柴油和汽油，对照《企业突发环境事件风险分级方法》HJ941-2018中附录A突发环境事件风险物质及临界量清单可知，本项目属于第八部分其他类物质及污染物中392油类物质，具体详见下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4"/>
          <w:szCs w:val="24"/>
        </w:rPr>
      </w:pPr>
      <w:r>
        <w:rPr>
          <w:rFonts w:hint="eastAsia"/>
          <w:b/>
          <w:bCs/>
          <w:sz w:val="24"/>
          <w:szCs w:val="24"/>
        </w:rPr>
        <w:t>表</w:t>
      </w:r>
      <w:r>
        <w:rPr>
          <w:rFonts w:hint="eastAsia"/>
          <w:b/>
          <w:bCs/>
          <w:sz w:val="24"/>
          <w:szCs w:val="24"/>
          <w:lang w:val="en-US" w:eastAsia="zh-CN"/>
        </w:rPr>
        <w:t>7.1</w:t>
      </w:r>
      <w:r>
        <w:rPr>
          <w:rFonts w:hint="eastAsia"/>
          <w:b/>
          <w:bCs/>
          <w:sz w:val="24"/>
          <w:szCs w:val="24"/>
        </w:rPr>
        <w:t>-</w:t>
      </w:r>
      <w:r>
        <w:rPr>
          <w:rFonts w:hint="eastAsia"/>
          <w:b/>
          <w:bCs/>
          <w:sz w:val="24"/>
          <w:szCs w:val="24"/>
          <w:lang w:val="en-US" w:eastAsia="zh-CN"/>
        </w:rPr>
        <w:t>1</w:t>
      </w:r>
      <w:r>
        <w:rPr>
          <w:rFonts w:hint="eastAsia"/>
          <w:b/>
          <w:bCs/>
          <w:sz w:val="24"/>
          <w:szCs w:val="24"/>
        </w:rPr>
        <w:t xml:space="preserve">  企业Q值计算</w:t>
      </w:r>
    </w:p>
    <w:tbl>
      <w:tblPr>
        <w:tblStyle w:val="15"/>
        <w:tblW w:w="93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2"/>
        <w:gridCol w:w="2105"/>
        <w:gridCol w:w="1651"/>
        <w:gridCol w:w="1487"/>
        <w:gridCol w:w="1569"/>
        <w:gridCol w:w="15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32" w:type="dxa"/>
            <w:tcBorders>
              <w:bottom w:val="single" w:color="auto" w:sz="4" w:space="0"/>
            </w:tcBorders>
            <w:shd w:val="clear" w:color="auto" w:fill="auto"/>
            <w:noWrap w:val="0"/>
            <w:vAlign w:val="center"/>
          </w:tcPr>
          <w:p>
            <w:pPr>
              <w:pStyle w:val="26"/>
              <w:rPr>
                <w:rFonts w:cs="Times New Roman"/>
                <w:sz w:val="24"/>
                <w:szCs w:val="24"/>
              </w:rPr>
            </w:pPr>
            <w:r>
              <w:rPr>
                <w:rFonts w:cs="Times New Roman"/>
                <w:sz w:val="24"/>
                <w:szCs w:val="24"/>
              </w:rPr>
              <w:t>序号</w:t>
            </w:r>
          </w:p>
        </w:tc>
        <w:tc>
          <w:tcPr>
            <w:tcW w:w="2105" w:type="dxa"/>
            <w:tcBorders>
              <w:bottom w:val="single" w:color="auto" w:sz="4" w:space="0"/>
            </w:tcBorders>
            <w:shd w:val="clear" w:color="auto" w:fill="auto"/>
            <w:noWrap w:val="0"/>
            <w:vAlign w:val="center"/>
          </w:tcPr>
          <w:p>
            <w:pPr>
              <w:pStyle w:val="26"/>
              <w:rPr>
                <w:rFonts w:cs="Times New Roman"/>
                <w:sz w:val="24"/>
                <w:szCs w:val="24"/>
              </w:rPr>
            </w:pPr>
            <w:r>
              <w:rPr>
                <w:rFonts w:cs="Times New Roman"/>
                <w:sz w:val="24"/>
                <w:szCs w:val="24"/>
              </w:rPr>
              <w:t>储罐编号</w:t>
            </w:r>
          </w:p>
        </w:tc>
        <w:tc>
          <w:tcPr>
            <w:tcW w:w="1651" w:type="dxa"/>
            <w:tcBorders>
              <w:bottom w:val="single" w:color="auto" w:sz="4" w:space="0"/>
            </w:tcBorders>
            <w:shd w:val="clear" w:color="auto" w:fill="auto"/>
            <w:noWrap w:val="0"/>
            <w:vAlign w:val="center"/>
          </w:tcPr>
          <w:p>
            <w:pPr>
              <w:pStyle w:val="26"/>
              <w:rPr>
                <w:rFonts w:cs="Times New Roman"/>
                <w:sz w:val="24"/>
                <w:szCs w:val="24"/>
              </w:rPr>
            </w:pPr>
            <w:r>
              <w:rPr>
                <w:rFonts w:cs="Times New Roman"/>
                <w:sz w:val="24"/>
                <w:szCs w:val="24"/>
              </w:rPr>
              <w:t>主要储存油品</w:t>
            </w:r>
          </w:p>
        </w:tc>
        <w:tc>
          <w:tcPr>
            <w:tcW w:w="1487" w:type="dxa"/>
            <w:tcBorders>
              <w:bottom w:val="single" w:color="auto" w:sz="4" w:space="0"/>
            </w:tcBorders>
            <w:shd w:val="clear" w:color="auto" w:fill="auto"/>
            <w:noWrap w:val="0"/>
            <w:vAlign w:val="center"/>
          </w:tcPr>
          <w:p>
            <w:pPr>
              <w:pStyle w:val="26"/>
              <w:rPr>
                <w:rFonts w:hint="default" w:eastAsia="宋体" w:cs="Times New Roman"/>
                <w:sz w:val="24"/>
                <w:szCs w:val="24"/>
                <w:lang w:eastAsia="zh-CN"/>
              </w:rPr>
            </w:pPr>
            <w:r>
              <w:rPr>
                <w:rFonts w:hint="default" w:cs="Times New Roman"/>
                <w:sz w:val="24"/>
                <w:szCs w:val="24"/>
              </w:rPr>
              <w:t>储存量</w:t>
            </w:r>
            <w:r>
              <w:rPr>
                <w:rFonts w:hint="default" w:cs="Times New Roman"/>
                <w:sz w:val="24"/>
                <w:szCs w:val="24"/>
                <w:lang w:eastAsia="zh-CN"/>
              </w:rPr>
              <w:t>（</w:t>
            </w:r>
            <w:r>
              <w:rPr>
                <w:rFonts w:hint="default" w:cs="Times New Roman"/>
                <w:sz w:val="24"/>
                <w:szCs w:val="24"/>
                <w:lang w:val="en-US" w:eastAsia="zh-CN"/>
              </w:rPr>
              <w:t>t</w:t>
            </w:r>
            <w:r>
              <w:rPr>
                <w:rFonts w:hint="default" w:cs="Times New Roman"/>
                <w:sz w:val="24"/>
                <w:szCs w:val="24"/>
                <w:lang w:eastAsia="zh-CN"/>
              </w:rPr>
              <w:t>）</w:t>
            </w:r>
          </w:p>
        </w:tc>
        <w:tc>
          <w:tcPr>
            <w:tcW w:w="1569" w:type="dxa"/>
            <w:tcBorders>
              <w:bottom w:val="single" w:color="auto" w:sz="4" w:space="0"/>
            </w:tcBorders>
            <w:shd w:val="clear" w:color="auto" w:fill="auto"/>
            <w:noWrap w:val="0"/>
            <w:vAlign w:val="center"/>
          </w:tcPr>
          <w:p>
            <w:pPr>
              <w:pStyle w:val="26"/>
              <w:rPr>
                <w:rFonts w:hint="default" w:eastAsia="宋体" w:cs="Times New Roman"/>
                <w:sz w:val="24"/>
                <w:szCs w:val="24"/>
                <w:lang w:eastAsia="zh-CN"/>
              </w:rPr>
            </w:pPr>
            <w:r>
              <w:rPr>
                <w:rFonts w:cs="Times New Roman"/>
                <w:sz w:val="24"/>
                <w:szCs w:val="24"/>
              </w:rPr>
              <w:t>临界量</w:t>
            </w:r>
            <w:r>
              <w:rPr>
                <w:rFonts w:hint="default" w:cs="Times New Roman"/>
                <w:sz w:val="24"/>
                <w:szCs w:val="24"/>
                <w:lang w:eastAsia="zh-CN"/>
              </w:rPr>
              <w:t>（</w:t>
            </w:r>
            <w:r>
              <w:rPr>
                <w:rFonts w:hint="default" w:cs="Times New Roman"/>
                <w:sz w:val="24"/>
                <w:szCs w:val="24"/>
                <w:lang w:val="en-US" w:eastAsia="zh-CN"/>
              </w:rPr>
              <w:t>t</w:t>
            </w:r>
            <w:r>
              <w:rPr>
                <w:rFonts w:hint="default" w:cs="Times New Roman"/>
                <w:sz w:val="24"/>
                <w:szCs w:val="24"/>
                <w:lang w:eastAsia="zh-CN"/>
              </w:rPr>
              <w:t>）</w:t>
            </w:r>
          </w:p>
        </w:tc>
        <w:tc>
          <w:tcPr>
            <w:tcW w:w="1513" w:type="dxa"/>
            <w:tcBorders>
              <w:bottom w:val="single" w:color="auto" w:sz="4" w:space="0"/>
            </w:tcBorders>
            <w:shd w:val="clear" w:color="auto" w:fill="auto"/>
            <w:noWrap w:val="0"/>
            <w:vAlign w:val="center"/>
          </w:tcPr>
          <w:p>
            <w:pPr>
              <w:pStyle w:val="26"/>
              <w:rPr>
                <w:rFonts w:cs="Times New Roman"/>
                <w:sz w:val="24"/>
                <w:szCs w:val="24"/>
              </w:rPr>
            </w:pPr>
            <w:r>
              <w:rPr>
                <w:rFonts w:cs="Times New Roman"/>
                <w:sz w:val="24"/>
                <w:szCs w:val="24"/>
              </w:rPr>
              <w:t>Q值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32" w:type="dxa"/>
            <w:tcBorders>
              <w:top w:val="single" w:color="auto" w:sz="4" w:space="0"/>
              <w:bottom w:val="single" w:color="auto" w:sz="4" w:space="0"/>
            </w:tcBorders>
            <w:shd w:val="clear" w:color="auto" w:fill="auto"/>
            <w:noWrap w:val="0"/>
            <w:vAlign w:val="center"/>
          </w:tcPr>
          <w:p>
            <w:pPr>
              <w:pStyle w:val="26"/>
              <w:rPr>
                <w:rFonts w:ascii="Times New Roman" w:hAnsi="Times New Roman" w:eastAsia="宋体" w:cs="Times New Roman"/>
                <w:kern w:val="2"/>
                <w:sz w:val="24"/>
                <w:szCs w:val="24"/>
                <w:lang w:val="en-US" w:eastAsia="zh-CN" w:bidi="ar-SA"/>
              </w:rPr>
            </w:pPr>
            <w:r>
              <w:rPr>
                <w:rFonts w:cs="Times New Roman"/>
                <w:sz w:val="24"/>
                <w:szCs w:val="24"/>
              </w:rPr>
              <w:t>1</w:t>
            </w:r>
          </w:p>
        </w:tc>
        <w:tc>
          <w:tcPr>
            <w:tcW w:w="2105"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sz w:val="24"/>
                <w:szCs w:val="24"/>
              </w:rPr>
            </w:pPr>
            <w:r>
              <w:rPr>
                <w:rFonts w:hint="default" w:ascii="Times New Roman" w:hAnsi="Times New Roman" w:eastAsia="宋体" w:cs="Times New Roman"/>
                <w:i w:val="0"/>
                <w:iCs w:val="0"/>
                <w:color w:val="000000"/>
                <w:kern w:val="0"/>
                <w:sz w:val="21"/>
                <w:szCs w:val="21"/>
                <w:u w:val="none"/>
                <w:lang w:val="en-US" w:eastAsia="zh-CN" w:bidi="ar"/>
              </w:rPr>
              <w:t>G-01-050</w:t>
            </w:r>
          </w:p>
        </w:tc>
        <w:tc>
          <w:tcPr>
            <w:tcW w:w="1651"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ascii="Times New Roman" w:hAnsi="Times New Roman"/>
                <w:sz w:val="24"/>
                <w:szCs w:val="24"/>
              </w:rPr>
            </w:pPr>
            <w:r>
              <w:rPr>
                <w:rFonts w:hint="default" w:ascii="Times New Roman" w:hAnsi="Times New Roman" w:eastAsia="宋体" w:cs="Times New Roman"/>
                <w:i w:val="0"/>
                <w:iCs w:val="0"/>
                <w:color w:val="000000"/>
                <w:kern w:val="0"/>
                <w:sz w:val="21"/>
                <w:szCs w:val="21"/>
                <w:u w:val="none"/>
                <w:lang w:val="en-US" w:eastAsia="zh-CN" w:bidi="ar"/>
              </w:rPr>
              <w:t>92#</w:t>
            </w:r>
            <w:r>
              <w:rPr>
                <w:rFonts w:hint="eastAsia" w:ascii="宋体" w:hAnsi="宋体" w:eastAsia="宋体" w:cs="宋体"/>
                <w:i w:val="0"/>
                <w:iCs w:val="0"/>
                <w:color w:val="000000"/>
                <w:kern w:val="0"/>
                <w:sz w:val="21"/>
                <w:szCs w:val="21"/>
                <w:u w:val="none"/>
                <w:lang w:val="en-US" w:eastAsia="zh-CN" w:bidi="ar"/>
              </w:rPr>
              <w:t>汽油</w:t>
            </w:r>
          </w:p>
        </w:tc>
        <w:tc>
          <w:tcPr>
            <w:tcW w:w="1487"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5000</w:t>
            </w:r>
          </w:p>
        </w:tc>
        <w:tc>
          <w:tcPr>
            <w:tcW w:w="1569"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3000</w:t>
            </w:r>
          </w:p>
        </w:tc>
        <w:tc>
          <w:tcPr>
            <w:tcW w:w="1513"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32" w:type="dxa"/>
            <w:tcBorders>
              <w:top w:val="single" w:color="auto" w:sz="4" w:space="0"/>
              <w:bottom w:val="single" w:color="auto" w:sz="4" w:space="0"/>
            </w:tcBorders>
            <w:shd w:val="clear" w:color="auto" w:fill="auto"/>
            <w:noWrap w:val="0"/>
            <w:vAlign w:val="center"/>
          </w:tcPr>
          <w:p>
            <w:pPr>
              <w:pStyle w:val="26"/>
              <w:rPr>
                <w:rFonts w:ascii="Times New Roman" w:hAnsi="Times New Roman" w:eastAsia="宋体" w:cs="Times New Roman"/>
                <w:kern w:val="2"/>
                <w:sz w:val="24"/>
                <w:szCs w:val="24"/>
                <w:lang w:val="en-US" w:eastAsia="zh-CN" w:bidi="ar-SA"/>
              </w:rPr>
            </w:pPr>
            <w:r>
              <w:rPr>
                <w:rFonts w:cs="Times New Roman"/>
                <w:sz w:val="24"/>
                <w:szCs w:val="24"/>
              </w:rPr>
              <w:t>2</w:t>
            </w:r>
          </w:p>
        </w:tc>
        <w:tc>
          <w:tcPr>
            <w:tcW w:w="2105"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sz w:val="24"/>
                <w:szCs w:val="24"/>
              </w:rPr>
            </w:pPr>
            <w:r>
              <w:rPr>
                <w:rFonts w:hint="default" w:ascii="Times New Roman" w:hAnsi="Times New Roman" w:eastAsia="宋体" w:cs="Times New Roman"/>
                <w:i w:val="0"/>
                <w:iCs w:val="0"/>
                <w:color w:val="000000"/>
                <w:kern w:val="0"/>
                <w:sz w:val="21"/>
                <w:szCs w:val="21"/>
                <w:u w:val="none"/>
                <w:lang w:val="en-US" w:eastAsia="zh-CN" w:bidi="ar"/>
              </w:rPr>
              <w:t>G-02-050</w:t>
            </w:r>
          </w:p>
        </w:tc>
        <w:tc>
          <w:tcPr>
            <w:tcW w:w="1651"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ascii="Times New Roman" w:hAnsi="Times New Roman"/>
                <w:sz w:val="24"/>
                <w:szCs w:val="24"/>
              </w:rPr>
            </w:pPr>
            <w:r>
              <w:rPr>
                <w:rFonts w:hint="default" w:ascii="Times New Roman" w:hAnsi="Times New Roman" w:eastAsia="宋体" w:cs="Times New Roman"/>
                <w:i w:val="0"/>
                <w:iCs w:val="0"/>
                <w:color w:val="000000"/>
                <w:kern w:val="0"/>
                <w:sz w:val="21"/>
                <w:szCs w:val="21"/>
                <w:u w:val="none"/>
                <w:lang w:val="en-US" w:eastAsia="zh-CN" w:bidi="ar"/>
              </w:rPr>
              <w:t>95#</w:t>
            </w:r>
            <w:r>
              <w:rPr>
                <w:rFonts w:hint="eastAsia" w:ascii="宋体" w:hAnsi="宋体" w:eastAsia="宋体" w:cs="宋体"/>
                <w:i w:val="0"/>
                <w:iCs w:val="0"/>
                <w:color w:val="000000"/>
                <w:kern w:val="0"/>
                <w:sz w:val="21"/>
                <w:szCs w:val="21"/>
                <w:u w:val="none"/>
                <w:lang w:val="en-US" w:eastAsia="zh-CN" w:bidi="ar"/>
              </w:rPr>
              <w:t>汽油</w:t>
            </w:r>
          </w:p>
        </w:tc>
        <w:tc>
          <w:tcPr>
            <w:tcW w:w="1487"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5000</w:t>
            </w:r>
          </w:p>
        </w:tc>
        <w:tc>
          <w:tcPr>
            <w:tcW w:w="1569"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3000</w:t>
            </w:r>
          </w:p>
        </w:tc>
        <w:tc>
          <w:tcPr>
            <w:tcW w:w="1513"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32" w:type="dxa"/>
            <w:tcBorders>
              <w:top w:val="single" w:color="auto" w:sz="4" w:space="0"/>
              <w:bottom w:val="single" w:color="auto" w:sz="4" w:space="0"/>
            </w:tcBorders>
            <w:shd w:val="clear" w:color="auto" w:fill="auto"/>
            <w:noWrap w:val="0"/>
            <w:vAlign w:val="center"/>
          </w:tcPr>
          <w:p>
            <w:pPr>
              <w:pStyle w:val="26"/>
              <w:rPr>
                <w:rFonts w:ascii="Times New Roman" w:hAnsi="Times New Roman" w:eastAsia="宋体" w:cs="Times New Roman"/>
                <w:kern w:val="2"/>
                <w:sz w:val="24"/>
                <w:szCs w:val="24"/>
                <w:lang w:val="en-US" w:eastAsia="zh-CN" w:bidi="ar-SA"/>
              </w:rPr>
            </w:pPr>
            <w:r>
              <w:rPr>
                <w:rFonts w:cs="Times New Roman"/>
                <w:sz w:val="24"/>
                <w:szCs w:val="24"/>
              </w:rPr>
              <w:t>3</w:t>
            </w:r>
          </w:p>
        </w:tc>
        <w:tc>
          <w:tcPr>
            <w:tcW w:w="2105"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sz w:val="24"/>
                <w:szCs w:val="24"/>
              </w:rPr>
            </w:pPr>
            <w:r>
              <w:rPr>
                <w:rFonts w:hint="default" w:ascii="Times New Roman" w:hAnsi="Times New Roman" w:eastAsia="宋体" w:cs="Times New Roman"/>
                <w:i w:val="0"/>
                <w:iCs w:val="0"/>
                <w:color w:val="000000"/>
                <w:kern w:val="0"/>
                <w:sz w:val="21"/>
                <w:szCs w:val="21"/>
                <w:u w:val="none"/>
                <w:lang w:val="en-US" w:eastAsia="zh-CN" w:bidi="ar"/>
              </w:rPr>
              <w:t>G-03-050</w:t>
            </w:r>
          </w:p>
        </w:tc>
        <w:tc>
          <w:tcPr>
            <w:tcW w:w="1651"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ascii="Times New Roman" w:hAnsi="Times New Roman"/>
                <w:sz w:val="24"/>
                <w:szCs w:val="24"/>
              </w:rPr>
            </w:pPr>
            <w:r>
              <w:rPr>
                <w:rFonts w:hint="default" w:ascii="Times New Roman" w:hAnsi="Times New Roman" w:eastAsia="宋体" w:cs="Times New Roman"/>
                <w:i w:val="0"/>
                <w:iCs w:val="0"/>
                <w:color w:val="000000"/>
                <w:kern w:val="0"/>
                <w:sz w:val="21"/>
                <w:szCs w:val="21"/>
                <w:u w:val="none"/>
                <w:lang w:val="en-US" w:eastAsia="zh-CN" w:bidi="ar"/>
              </w:rPr>
              <w:t>95#</w:t>
            </w:r>
            <w:r>
              <w:rPr>
                <w:rFonts w:hint="eastAsia" w:ascii="宋体" w:hAnsi="宋体" w:eastAsia="宋体" w:cs="宋体"/>
                <w:i w:val="0"/>
                <w:iCs w:val="0"/>
                <w:color w:val="000000"/>
                <w:kern w:val="0"/>
                <w:sz w:val="21"/>
                <w:szCs w:val="21"/>
                <w:u w:val="none"/>
                <w:lang w:val="en-US" w:eastAsia="zh-CN" w:bidi="ar"/>
              </w:rPr>
              <w:t>汽油</w:t>
            </w:r>
          </w:p>
        </w:tc>
        <w:tc>
          <w:tcPr>
            <w:tcW w:w="1487"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5000</w:t>
            </w:r>
          </w:p>
        </w:tc>
        <w:tc>
          <w:tcPr>
            <w:tcW w:w="1569"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3000</w:t>
            </w:r>
          </w:p>
        </w:tc>
        <w:tc>
          <w:tcPr>
            <w:tcW w:w="1513"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32" w:type="dxa"/>
            <w:tcBorders>
              <w:top w:val="single" w:color="auto" w:sz="4" w:space="0"/>
              <w:bottom w:val="single" w:color="auto" w:sz="4" w:space="0"/>
            </w:tcBorders>
            <w:shd w:val="clear" w:color="auto" w:fill="auto"/>
            <w:noWrap w:val="0"/>
            <w:vAlign w:val="center"/>
          </w:tcPr>
          <w:p>
            <w:pPr>
              <w:pStyle w:val="26"/>
              <w:rPr>
                <w:rFonts w:ascii="Times New Roman" w:hAnsi="Times New Roman" w:eastAsia="宋体" w:cs="Times New Roman"/>
                <w:kern w:val="2"/>
                <w:sz w:val="24"/>
                <w:szCs w:val="24"/>
                <w:lang w:val="en-US" w:eastAsia="zh-CN" w:bidi="ar-SA"/>
              </w:rPr>
            </w:pPr>
            <w:r>
              <w:rPr>
                <w:rFonts w:hint="default" w:cs="Times New Roman"/>
                <w:sz w:val="24"/>
                <w:szCs w:val="24"/>
              </w:rPr>
              <w:t>4</w:t>
            </w:r>
          </w:p>
        </w:tc>
        <w:tc>
          <w:tcPr>
            <w:tcW w:w="2105"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sz w:val="24"/>
                <w:szCs w:val="24"/>
              </w:rPr>
            </w:pPr>
            <w:r>
              <w:rPr>
                <w:rFonts w:hint="default" w:ascii="Times New Roman" w:hAnsi="Times New Roman" w:eastAsia="宋体" w:cs="Times New Roman"/>
                <w:i w:val="0"/>
                <w:iCs w:val="0"/>
                <w:color w:val="000000"/>
                <w:kern w:val="0"/>
                <w:sz w:val="21"/>
                <w:szCs w:val="21"/>
                <w:u w:val="none"/>
                <w:lang w:val="en-US" w:eastAsia="zh-CN" w:bidi="ar"/>
              </w:rPr>
              <w:t>G-04-050</w:t>
            </w:r>
          </w:p>
        </w:tc>
        <w:tc>
          <w:tcPr>
            <w:tcW w:w="1651"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ascii="Times New Roman" w:hAnsi="Times New Roman"/>
                <w:sz w:val="24"/>
                <w:szCs w:val="24"/>
              </w:rPr>
            </w:pPr>
            <w:r>
              <w:rPr>
                <w:rFonts w:hint="default" w:ascii="Times New Roman" w:hAnsi="Times New Roman" w:eastAsia="宋体" w:cs="Times New Roman"/>
                <w:i w:val="0"/>
                <w:iCs w:val="0"/>
                <w:color w:val="000000"/>
                <w:kern w:val="0"/>
                <w:sz w:val="21"/>
                <w:szCs w:val="21"/>
                <w:u w:val="none"/>
                <w:lang w:val="en-US" w:eastAsia="zh-CN" w:bidi="ar"/>
              </w:rPr>
              <w:t>92#</w:t>
            </w:r>
            <w:r>
              <w:rPr>
                <w:rFonts w:hint="eastAsia" w:ascii="宋体" w:hAnsi="宋体" w:eastAsia="宋体" w:cs="宋体"/>
                <w:i w:val="0"/>
                <w:iCs w:val="0"/>
                <w:color w:val="000000"/>
                <w:kern w:val="0"/>
                <w:sz w:val="21"/>
                <w:szCs w:val="21"/>
                <w:u w:val="none"/>
                <w:lang w:val="en-US" w:eastAsia="zh-CN" w:bidi="ar"/>
              </w:rPr>
              <w:t>汽油</w:t>
            </w:r>
          </w:p>
        </w:tc>
        <w:tc>
          <w:tcPr>
            <w:tcW w:w="1487"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5000</w:t>
            </w:r>
          </w:p>
        </w:tc>
        <w:tc>
          <w:tcPr>
            <w:tcW w:w="1569"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3000</w:t>
            </w:r>
          </w:p>
        </w:tc>
        <w:tc>
          <w:tcPr>
            <w:tcW w:w="1513"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32" w:type="dxa"/>
            <w:tcBorders>
              <w:top w:val="single" w:color="auto" w:sz="4" w:space="0"/>
              <w:bottom w:val="single" w:color="auto" w:sz="4" w:space="0"/>
            </w:tcBorders>
            <w:shd w:val="clear" w:color="auto" w:fill="auto"/>
            <w:noWrap w:val="0"/>
            <w:vAlign w:val="center"/>
          </w:tcPr>
          <w:p>
            <w:pPr>
              <w:pStyle w:val="26"/>
              <w:rPr>
                <w:rFonts w:ascii="Times New Roman" w:hAnsi="Times New Roman" w:eastAsia="宋体" w:cs="Times New Roman"/>
                <w:kern w:val="2"/>
                <w:sz w:val="24"/>
                <w:szCs w:val="24"/>
                <w:lang w:val="en-US" w:eastAsia="zh-CN" w:bidi="ar-SA"/>
              </w:rPr>
            </w:pPr>
            <w:r>
              <w:rPr>
                <w:rFonts w:hint="default" w:cs="Times New Roman"/>
                <w:sz w:val="24"/>
                <w:szCs w:val="24"/>
              </w:rPr>
              <w:t>5</w:t>
            </w:r>
          </w:p>
        </w:tc>
        <w:tc>
          <w:tcPr>
            <w:tcW w:w="2105"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sz w:val="24"/>
                <w:szCs w:val="24"/>
              </w:rPr>
            </w:pPr>
            <w:r>
              <w:rPr>
                <w:rFonts w:hint="default" w:ascii="Times New Roman" w:hAnsi="Times New Roman" w:eastAsia="宋体" w:cs="Times New Roman"/>
                <w:i w:val="0"/>
                <w:iCs w:val="0"/>
                <w:color w:val="000000"/>
                <w:kern w:val="0"/>
                <w:sz w:val="21"/>
                <w:szCs w:val="21"/>
                <w:u w:val="none"/>
                <w:lang w:val="en-US" w:eastAsia="zh-CN" w:bidi="ar"/>
              </w:rPr>
              <w:t>G-05-100</w:t>
            </w:r>
          </w:p>
        </w:tc>
        <w:tc>
          <w:tcPr>
            <w:tcW w:w="1651"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ascii="Times New Roman" w:hAnsi="Times New Roman"/>
                <w:sz w:val="24"/>
                <w:szCs w:val="24"/>
              </w:rPr>
            </w:pPr>
            <w:r>
              <w:rPr>
                <w:rFonts w:hint="default" w:ascii="Times New Roman" w:hAnsi="Times New Roman" w:eastAsia="宋体" w:cs="Times New Roman"/>
                <w:i w:val="0"/>
                <w:iCs w:val="0"/>
                <w:color w:val="000000"/>
                <w:kern w:val="0"/>
                <w:sz w:val="21"/>
                <w:szCs w:val="21"/>
                <w:u w:val="none"/>
                <w:lang w:val="en-US" w:eastAsia="zh-CN" w:bidi="ar"/>
              </w:rPr>
              <w:t>92#</w:t>
            </w:r>
            <w:r>
              <w:rPr>
                <w:rFonts w:hint="eastAsia" w:ascii="宋体" w:hAnsi="宋体" w:eastAsia="宋体" w:cs="宋体"/>
                <w:i w:val="0"/>
                <w:iCs w:val="0"/>
                <w:color w:val="000000"/>
                <w:kern w:val="0"/>
                <w:sz w:val="21"/>
                <w:szCs w:val="21"/>
                <w:u w:val="none"/>
                <w:lang w:val="en-US" w:eastAsia="zh-CN" w:bidi="ar"/>
              </w:rPr>
              <w:t>汽油</w:t>
            </w:r>
          </w:p>
        </w:tc>
        <w:tc>
          <w:tcPr>
            <w:tcW w:w="1487"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569"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6000</w:t>
            </w:r>
          </w:p>
        </w:tc>
        <w:tc>
          <w:tcPr>
            <w:tcW w:w="1513"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32" w:type="dxa"/>
            <w:tcBorders>
              <w:top w:val="single" w:color="auto" w:sz="4" w:space="0"/>
              <w:bottom w:val="single" w:color="auto" w:sz="4" w:space="0"/>
            </w:tcBorders>
            <w:shd w:val="clear" w:color="auto" w:fill="auto"/>
            <w:noWrap w:val="0"/>
            <w:vAlign w:val="center"/>
          </w:tcPr>
          <w:p>
            <w:pPr>
              <w:pStyle w:val="26"/>
              <w:rPr>
                <w:rFonts w:ascii="Times New Roman" w:hAnsi="Times New Roman" w:eastAsia="宋体" w:cs="Times New Roman"/>
                <w:kern w:val="2"/>
                <w:sz w:val="24"/>
                <w:szCs w:val="24"/>
                <w:lang w:val="en-US" w:eastAsia="zh-CN" w:bidi="ar-SA"/>
              </w:rPr>
            </w:pPr>
            <w:r>
              <w:rPr>
                <w:rFonts w:hint="default" w:cs="Times New Roman"/>
                <w:sz w:val="24"/>
                <w:szCs w:val="24"/>
              </w:rPr>
              <w:t>6</w:t>
            </w:r>
          </w:p>
        </w:tc>
        <w:tc>
          <w:tcPr>
            <w:tcW w:w="2105"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sz w:val="24"/>
                <w:szCs w:val="24"/>
              </w:rPr>
            </w:pPr>
            <w:r>
              <w:rPr>
                <w:rFonts w:hint="default" w:ascii="Times New Roman" w:hAnsi="Times New Roman" w:eastAsia="宋体" w:cs="Times New Roman"/>
                <w:i w:val="0"/>
                <w:iCs w:val="0"/>
                <w:color w:val="000000"/>
                <w:kern w:val="0"/>
                <w:sz w:val="21"/>
                <w:szCs w:val="21"/>
                <w:u w:val="none"/>
                <w:lang w:val="en-US" w:eastAsia="zh-CN" w:bidi="ar"/>
              </w:rPr>
              <w:t>G-06-100</w:t>
            </w:r>
          </w:p>
        </w:tc>
        <w:tc>
          <w:tcPr>
            <w:tcW w:w="1651"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ascii="Times New Roman" w:hAnsi="Times New Roman"/>
                <w:sz w:val="24"/>
                <w:szCs w:val="24"/>
              </w:rPr>
            </w:pPr>
            <w:r>
              <w:rPr>
                <w:rFonts w:hint="default" w:ascii="Times New Roman" w:hAnsi="Times New Roman" w:eastAsia="宋体" w:cs="Times New Roman"/>
                <w:i w:val="0"/>
                <w:iCs w:val="0"/>
                <w:color w:val="000000"/>
                <w:kern w:val="0"/>
                <w:sz w:val="21"/>
                <w:szCs w:val="21"/>
                <w:u w:val="none"/>
                <w:lang w:val="en-US" w:eastAsia="zh-CN" w:bidi="ar"/>
              </w:rPr>
              <w:t>92#</w:t>
            </w:r>
            <w:r>
              <w:rPr>
                <w:rFonts w:hint="eastAsia" w:ascii="宋体" w:hAnsi="宋体" w:eastAsia="宋体" w:cs="宋体"/>
                <w:i w:val="0"/>
                <w:iCs w:val="0"/>
                <w:color w:val="000000"/>
                <w:kern w:val="0"/>
                <w:sz w:val="21"/>
                <w:szCs w:val="21"/>
                <w:u w:val="none"/>
                <w:lang w:val="en-US" w:eastAsia="zh-CN" w:bidi="ar"/>
              </w:rPr>
              <w:t>汽油</w:t>
            </w:r>
          </w:p>
        </w:tc>
        <w:tc>
          <w:tcPr>
            <w:tcW w:w="1487"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569"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6000</w:t>
            </w:r>
          </w:p>
        </w:tc>
        <w:tc>
          <w:tcPr>
            <w:tcW w:w="1513"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32" w:type="dxa"/>
            <w:tcBorders>
              <w:top w:val="single" w:color="auto" w:sz="4" w:space="0"/>
              <w:bottom w:val="single" w:color="auto" w:sz="4" w:space="0"/>
            </w:tcBorders>
            <w:shd w:val="clear" w:color="auto" w:fill="auto"/>
            <w:noWrap w:val="0"/>
            <w:vAlign w:val="center"/>
          </w:tcPr>
          <w:p>
            <w:pPr>
              <w:pStyle w:val="26"/>
              <w:rPr>
                <w:rFonts w:hint="default" w:ascii="Times New Roman" w:hAnsi="Times New Roman" w:eastAsia="宋体" w:cs="Times New Roman"/>
                <w:kern w:val="2"/>
                <w:sz w:val="24"/>
                <w:szCs w:val="24"/>
                <w:lang w:val="en-US" w:eastAsia="zh-CN" w:bidi="ar-SA"/>
              </w:rPr>
            </w:pPr>
            <w:r>
              <w:rPr>
                <w:rFonts w:hint="default" w:cs="Times New Roman"/>
                <w:sz w:val="24"/>
                <w:szCs w:val="24"/>
              </w:rPr>
              <w:t>7</w:t>
            </w:r>
          </w:p>
        </w:tc>
        <w:tc>
          <w:tcPr>
            <w:tcW w:w="2105"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sz w:val="24"/>
                <w:szCs w:val="24"/>
              </w:rPr>
            </w:pPr>
            <w:r>
              <w:rPr>
                <w:rFonts w:hint="default" w:ascii="Times New Roman" w:hAnsi="Times New Roman" w:eastAsia="宋体" w:cs="Times New Roman"/>
                <w:i w:val="0"/>
                <w:iCs w:val="0"/>
                <w:color w:val="000000"/>
                <w:kern w:val="0"/>
                <w:sz w:val="21"/>
                <w:szCs w:val="21"/>
                <w:u w:val="none"/>
                <w:lang w:val="en-US" w:eastAsia="zh-CN" w:bidi="ar"/>
              </w:rPr>
              <w:t>G-07-100</w:t>
            </w:r>
          </w:p>
        </w:tc>
        <w:tc>
          <w:tcPr>
            <w:tcW w:w="1651"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ascii="Times New Roman" w:hAnsi="Times New Roman"/>
                <w:sz w:val="24"/>
                <w:szCs w:val="24"/>
              </w:rPr>
            </w:pPr>
            <w:r>
              <w:rPr>
                <w:rFonts w:hint="default" w:ascii="Times New Roman" w:hAnsi="Times New Roman" w:eastAsia="宋体" w:cs="Times New Roman"/>
                <w:i w:val="0"/>
                <w:iCs w:val="0"/>
                <w:color w:val="000000"/>
                <w:kern w:val="0"/>
                <w:sz w:val="21"/>
                <w:szCs w:val="21"/>
                <w:u w:val="none"/>
                <w:lang w:val="en-US" w:eastAsia="zh-CN" w:bidi="ar"/>
              </w:rPr>
              <w:t>92#</w:t>
            </w:r>
            <w:r>
              <w:rPr>
                <w:rFonts w:hint="eastAsia" w:ascii="宋体" w:hAnsi="宋体" w:eastAsia="宋体" w:cs="宋体"/>
                <w:i w:val="0"/>
                <w:iCs w:val="0"/>
                <w:color w:val="000000"/>
                <w:kern w:val="0"/>
                <w:sz w:val="21"/>
                <w:szCs w:val="21"/>
                <w:u w:val="none"/>
                <w:lang w:val="en-US" w:eastAsia="zh-CN" w:bidi="ar"/>
              </w:rPr>
              <w:t>汽油</w:t>
            </w:r>
          </w:p>
        </w:tc>
        <w:tc>
          <w:tcPr>
            <w:tcW w:w="1487"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569"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6000</w:t>
            </w:r>
          </w:p>
        </w:tc>
        <w:tc>
          <w:tcPr>
            <w:tcW w:w="1513"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32" w:type="dxa"/>
            <w:tcBorders>
              <w:top w:val="single" w:color="auto" w:sz="4" w:space="0"/>
              <w:bottom w:val="single" w:color="auto" w:sz="4" w:space="0"/>
            </w:tcBorders>
            <w:shd w:val="clear" w:color="auto" w:fill="auto"/>
            <w:noWrap w:val="0"/>
            <w:vAlign w:val="center"/>
          </w:tcPr>
          <w:p>
            <w:pPr>
              <w:pStyle w:val="26"/>
              <w:rPr>
                <w:rFonts w:hint="default" w:ascii="Times New Roman" w:hAnsi="Times New Roman" w:eastAsia="宋体" w:cs="Times New Roman"/>
                <w:kern w:val="2"/>
                <w:sz w:val="24"/>
                <w:szCs w:val="24"/>
                <w:lang w:val="en-US" w:eastAsia="zh-CN" w:bidi="ar-SA"/>
              </w:rPr>
            </w:pPr>
            <w:r>
              <w:rPr>
                <w:rFonts w:hint="default" w:cs="Times New Roman"/>
                <w:sz w:val="24"/>
                <w:szCs w:val="24"/>
              </w:rPr>
              <w:t>8</w:t>
            </w:r>
          </w:p>
        </w:tc>
        <w:tc>
          <w:tcPr>
            <w:tcW w:w="2105"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sz w:val="24"/>
                <w:szCs w:val="24"/>
              </w:rPr>
            </w:pPr>
            <w:r>
              <w:rPr>
                <w:rFonts w:hint="default" w:ascii="Times New Roman" w:hAnsi="Times New Roman" w:eastAsia="宋体" w:cs="Times New Roman"/>
                <w:i w:val="0"/>
                <w:iCs w:val="0"/>
                <w:color w:val="000000"/>
                <w:kern w:val="0"/>
                <w:sz w:val="21"/>
                <w:szCs w:val="21"/>
                <w:u w:val="none"/>
                <w:lang w:val="en-US" w:eastAsia="zh-CN" w:bidi="ar"/>
              </w:rPr>
              <w:t>G-08-100</w:t>
            </w:r>
          </w:p>
        </w:tc>
        <w:tc>
          <w:tcPr>
            <w:tcW w:w="1651"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ascii="Times New Roman" w:hAnsi="Times New Roman"/>
                <w:sz w:val="24"/>
                <w:szCs w:val="24"/>
              </w:rPr>
            </w:pPr>
            <w:r>
              <w:rPr>
                <w:rFonts w:hint="default" w:ascii="Times New Roman" w:hAnsi="Times New Roman" w:eastAsia="宋体" w:cs="Times New Roman"/>
                <w:i w:val="0"/>
                <w:iCs w:val="0"/>
                <w:color w:val="000000"/>
                <w:kern w:val="0"/>
                <w:sz w:val="21"/>
                <w:szCs w:val="21"/>
                <w:u w:val="none"/>
                <w:lang w:val="en-US" w:eastAsia="zh-CN" w:bidi="ar"/>
              </w:rPr>
              <w:t>95#</w:t>
            </w:r>
            <w:r>
              <w:rPr>
                <w:rFonts w:hint="eastAsia" w:ascii="宋体" w:hAnsi="宋体" w:eastAsia="宋体" w:cs="宋体"/>
                <w:i w:val="0"/>
                <w:iCs w:val="0"/>
                <w:color w:val="000000"/>
                <w:kern w:val="0"/>
                <w:sz w:val="21"/>
                <w:szCs w:val="21"/>
                <w:u w:val="none"/>
                <w:lang w:val="en-US" w:eastAsia="zh-CN" w:bidi="ar"/>
              </w:rPr>
              <w:t>汽油</w:t>
            </w:r>
          </w:p>
        </w:tc>
        <w:tc>
          <w:tcPr>
            <w:tcW w:w="1487"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569"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6000</w:t>
            </w:r>
          </w:p>
        </w:tc>
        <w:tc>
          <w:tcPr>
            <w:tcW w:w="1513"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32" w:type="dxa"/>
            <w:tcBorders>
              <w:top w:val="single" w:color="auto" w:sz="4" w:space="0"/>
              <w:bottom w:val="single" w:color="auto" w:sz="4" w:space="0"/>
            </w:tcBorders>
            <w:shd w:val="clear" w:color="auto" w:fill="auto"/>
            <w:noWrap w:val="0"/>
            <w:vAlign w:val="center"/>
          </w:tcPr>
          <w:p>
            <w:pPr>
              <w:pStyle w:val="26"/>
              <w:rPr>
                <w:rFonts w:hint="default" w:ascii="Times New Roman" w:hAnsi="Times New Roman" w:eastAsia="宋体" w:cs="Times New Roman"/>
                <w:kern w:val="2"/>
                <w:sz w:val="24"/>
                <w:szCs w:val="24"/>
                <w:lang w:val="en-US" w:eastAsia="zh-CN" w:bidi="ar-SA"/>
              </w:rPr>
            </w:pPr>
            <w:r>
              <w:rPr>
                <w:rFonts w:hint="default" w:cs="Times New Roman"/>
                <w:sz w:val="24"/>
                <w:szCs w:val="24"/>
              </w:rPr>
              <w:t>9</w:t>
            </w:r>
          </w:p>
        </w:tc>
        <w:tc>
          <w:tcPr>
            <w:tcW w:w="2105"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sz w:val="24"/>
                <w:szCs w:val="24"/>
              </w:rPr>
            </w:pPr>
            <w:r>
              <w:rPr>
                <w:rFonts w:hint="default" w:ascii="Times New Roman" w:hAnsi="Times New Roman" w:eastAsia="宋体" w:cs="Times New Roman"/>
                <w:i w:val="0"/>
                <w:iCs w:val="0"/>
                <w:color w:val="000000"/>
                <w:kern w:val="0"/>
                <w:sz w:val="21"/>
                <w:szCs w:val="21"/>
                <w:u w:val="none"/>
                <w:lang w:val="en-US" w:eastAsia="zh-CN" w:bidi="ar"/>
              </w:rPr>
              <w:t>D-01-300</w:t>
            </w:r>
          </w:p>
        </w:tc>
        <w:tc>
          <w:tcPr>
            <w:tcW w:w="1651"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ascii="Times New Roman" w:hAnsi="Times New Roman"/>
                <w:sz w:val="24"/>
                <w:szCs w:val="24"/>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宋体" w:hAnsi="宋体" w:eastAsia="宋体" w:cs="宋体"/>
                <w:i w:val="0"/>
                <w:iCs w:val="0"/>
                <w:color w:val="000000"/>
                <w:kern w:val="0"/>
                <w:sz w:val="21"/>
                <w:szCs w:val="21"/>
                <w:u w:val="none"/>
                <w:lang w:val="en-US" w:eastAsia="zh-CN" w:bidi="ar"/>
              </w:rPr>
              <w:t>柴油</w:t>
            </w:r>
          </w:p>
        </w:tc>
        <w:tc>
          <w:tcPr>
            <w:tcW w:w="1487"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30000</w:t>
            </w:r>
          </w:p>
        </w:tc>
        <w:tc>
          <w:tcPr>
            <w:tcW w:w="1569"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20640</w:t>
            </w:r>
          </w:p>
        </w:tc>
        <w:tc>
          <w:tcPr>
            <w:tcW w:w="1513"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8.256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32" w:type="dxa"/>
            <w:tcBorders>
              <w:top w:val="single" w:color="auto" w:sz="4" w:space="0"/>
              <w:bottom w:val="single" w:color="auto" w:sz="4" w:space="0"/>
            </w:tcBorders>
            <w:shd w:val="clear" w:color="auto" w:fill="auto"/>
            <w:noWrap w:val="0"/>
            <w:vAlign w:val="center"/>
          </w:tcPr>
          <w:p>
            <w:pPr>
              <w:pStyle w:val="26"/>
              <w:rPr>
                <w:rFonts w:hint="default" w:ascii="Times New Roman" w:hAnsi="Times New Roman" w:eastAsia="宋体" w:cs="Times New Roman"/>
                <w:kern w:val="2"/>
                <w:sz w:val="24"/>
                <w:szCs w:val="24"/>
                <w:lang w:val="en-US" w:eastAsia="zh-CN" w:bidi="ar-SA"/>
              </w:rPr>
            </w:pPr>
            <w:r>
              <w:rPr>
                <w:rFonts w:hint="default" w:cs="Times New Roman"/>
                <w:sz w:val="24"/>
                <w:szCs w:val="24"/>
              </w:rPr>
              <w:t>10</w:t>
            </w:r>
          </w:p>
        </w:tc>
        <w:tc>
          <w:tcPr>
            <w:tcW w:w="2105"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sz w:val="24"/>
                <w:szCs w:val="24"/>
              </w:rPr>
            </w:pPr>
            <w:r>
              <w:rPr>
                <w:rFonts w:hint="default" w:ascii="Times New Roman" w:hAnsi="Times New Roman" w:eastAsia="宋体" w:cs="Times New Roman"/>
                <w:i w:val="0"/>
                <w:iCs w:val="0"/>
                <w:color w:val="000000"/>
                <w:kern w:val="0"/>
                <w:sz w:val="21"/>
                <w:szCs w:val="21"/>
                <w:u w:val="none"/>
                <w:lang w:val="en-US" w:eastAsia="zh-CN" w:bidi="ar"/>
              </w:rPr>
              <w:t>D-02-300</w:t>
            </w:r>
          </w:p>
        </w:tc>
        <w:tc>
          <w:tcPr>
            <w:tcW w:w="1651"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ascii="Times New Roman" w:hAnsi="Times New Roman"/>
                <w:sz w:val="24"/>
                <w:szCs w:val="24"/>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宋体" w:hAnsi="宋体" w:eastAsia="宋体" w:cs="宋体"/>
                <w:i w:val="0"/>
                <w:iCs w:val="0"/>
                <w:color w:val="000000"/>
                <w:kern w:val="0"/>
                <w:sz w:val="21"/>
                <w:szCs w:val="21"/>
                <w:u w:val="none"/>
                <w:lang w:val="en-US" w:eastAsia="zh-CN" w:bidi="ar"/>
              </w:rPr>
              <w:t>柴油</w:t>
            </w:r>
          </w:p>
        </w:tc>
        <w:tc>
          <w:tcPr>
            <w:tcW w:w="1487"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30000</w:t>
            </w:r>
          </w:p>
        </w:tc>
        <w:tc>
          <w:tcPr>
            <w:tcW w:w="1569"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20640</w:t>
            </w:r>
          </w:p>
        </w:tc>
        <w:tc>
          <w:tcPr>
            <w:tcW w:w="1513"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8.256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32" w:type="dxa"/>
            <w:tcBorders>
              <w:top w:val="single" w:color="auto" w:sz="4" w:space="0"/>
              <w:bottom w:val="single" w:color="auto" w:sz="4" w:space="0"/>
            </w:tcBorders>
            <w:shd w:val="clear" w:color="auto" w:fill="auto"/>
            <w:noWrap w:val="0"/>
            <w:vAlign w:val="center"/>
          </w:tcPr>
          <w:p>
            <w:pPr>
              <w:pStyle w:val="26"/>
              <w:rPr>
                <w:rFonts w:hint="default" w:ascii="Times New Roman" w:hAnsi="Times New Roman" w:eastAsia="宋体" w:cs="Times New Roman"/>
                <w:kern w:val="2"/>
                <w:sz w:val="24"/>
                <w:szCs w:val="24"/>
                <w:lang w:val="en-US" w:eastAsia="zh-CN" w:bidi="ar-SA"/>
              </w:rPr>
            </w:pPr>
            <w:r>
              <w:rPr>
                <w:rFonts w:hint="default" w:cs="Times New Roman"/>
                <w:sz w:val="24"/>
                <w:szCs w:val="24"/>
              </w:rPr>
              <w:t>11</w:t>
            </w:r>
          </w:p>
        </w:tc>
        <w:tc>
          <w:tcPr>
            <w:tcW w:w="2105"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sz w:val="24"/>
                <w:szCs w:val="24"/>
              </w:rPr>
            </w:pPr>
            <w:r>
              <w:rPr>
                <w:rFonts w:hint="default" w:ascii="Times New Roman" w:hAnsi="Times New Roman" w:eastAsia="宋体" w:cs="Times New Roman"/>
                <w:i w:val="0"/>
                <w:iCs w:val="0"/>
                <w:color w:val="000000"/>
                <w:kern w:val="0"/>
                <w:sz w:val="21"/>
                <w:szCs w:val="21"/>
                <w:u w:val="none"/>
                <w:lang w:val="en-US" w:eastAsia="zh-CN" w:bidi="ar"/>
              </w:rPr>
              <w:t>D-03-300</w:t>
            </w:r>
          </w:p>
        </w:tc>
        <w:tc>
          <w:tcPr>
            <w:tcW w:w="1651"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ascii="Times New Roman" w:hAnsi="Times New Roman"/>
                <w:sz w:val="24"/>
                <w:szCs w:val="24"/>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宋体" w:hAnsi="宋体" w:eastAsia="宋体" w:cs="宋体"/>
                <w:i w:val="0"/>
                <w:iCs w:val="0"/>
                <w:color w:val="000000"/>
                <w:kern w:val="0"/>
                <w:sz w:val="21"/>
                <w:szCs w:val="21"/>
                <w:u w:val="none"/>
                <w:lang w:val="en-US" w:eastAsia="zh-CN" w:bidi="ar"/>
              </w:rPr>
              <w:t>柴油</w:t>
            </w:r>
          </w:p>
        </w:tc>
        <w:tc>
          <w:tcPr>
            <w:tcW w:w="1487"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30000</w:t>
            </w:r>
          </w:p>
        </w:tc>
        <w:tc>
          <w:tcPr>
            <w:tcW w:w="1569"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20640</w:t>
            </w:r>
          </w:p>
        </w:tc>
        <w:tc>
          <w:tcPr>
            <w:tcW w:w="1513"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8.256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32" w:type="dxa"/>
            <w:tcBorders>
              <w:top w:val="single" w:color="auto" w:sz="4" w:space="0"/>
              <w:bottom w:val="single" w:color="auto" w:sz="4" w:space="0"/>
            </w:tcBorders>
            <w:shd w:val="clear" w:color="auto" w:fill="auto"/>
            <w:noWrap w:val="0"/>
            <w:vAlign w:val="center"/>
          </w:tcPr>
          <w:p>
            <w:pPr>
              <w:pStyle w:val="26"/>
              <w:rPr>
                <w:rFonts w:hint="default" w:ascii="Times New Roman" w:hAnsi="Times New Roman" w:eastAsia="宋体" w:cs="Times New Roman"/>
                <w:kern w:val="2"/>
                <w:sz w:val="24"/>
                <w:szCs w:val="24"/>
                <w:lang w:val="en-US" w:eastAsia="zh-CN" w:bidi="ar-SA"/>
              </w:rPr>
            </w:pPr>
            <w:r>
              <w:rPr>
                <w:rFonts w:hint="default" w:cs="Times New Roman"/>
                <w:sz w:val="24"/>
                <w:szCs w:val="24"/>
              </w:rPr>
              <w:t>12</w:t>
            </w:r>
          </w:p>
        </w:tc>
        <w:tc>
          <w:tcPr>
            <w:tcW w:w="2105"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sz w:val="24"/>
                <w:szCs w:val="24"/>
              </w:rPr>
            </w:pPr>
            <w:r>
              <w:rPr>
                <w:rFonts w:hint="default" w:ascii="Times New Roman" w:hAnsi="Times New Roman" w:eastAsia="宋体" w:cs="Times New Roman"/>
                <w:i w:val="0"/>
                <w:iCs w:val="0"/>
                <w:color w:val="000000"/>
                <w:kern w:val="0"/>
                <w:sz w:val="21"/>
                <w:szCs w:val="21"/>
                <w:u w:val="none"/>
                <w:lang w:val="en-US" w:eastAsia="zh-CN" w:bidi="ar"/>
              </w:rPr>
              <w:t>G-04-200</w:t>
            </w:r>
          </w:p>
        </w:tc>
        <w:tc>
          <w:tcPr>
            <w:tcW w:w="1651"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ascii="Times New Roman" w:hAnsi="Times New Roman"/>
                <w:sz w:val="24"/>
                <w:szCs w:val="24"/>
              </w:rPr>
            </w:pPr>
            <w:r>
              <w:rPr>
                <w:rFonts w:hint="default" w:ascii="Times New Roman" w:hAnsi="Times New Roman" w:eastAsia="宋体" w:cs="Times New Roman"/>
                <w:i w:val="0"/>
                <w:iCs w:val="0"/>
                <w:color w:val="000000"/>
                <w:kern w:val="0"/>
                <w:sz w:val="21"/>
                <w:szCs w:val="21"/>
                <w:u w:val="none"/>
                <w:lang w:val="en-US" w:eastAsia="zh-CN" w:bidi="ar"/>
              </w:rPr>
              <w:t>92#</w:t>
            </w:r>
            <w:r>
              <w:rPr>
                <w:rFonts w:hint="eastAsia" w:ascii="宋体" w:hAnsi="宋体" w:eastAsia="宋体" w:cs="宋体"/>
                <w:i w:val="0"/>
                <w:iCs w:val="0"/>
                <w:color w:val="000000"/>
                <w:kern w:val="0"/>
                <w:sz w:val="21"/>
                <w:szCs w:val="21"/>
                <w:u w:val="none"/>
                <w:lang w:val="en-US" w:eastAsia="zh-CN" w:bidi="ar"/>
              </w:rPr>
              <w:t>汽油</w:t>
            </w:r>
          </w:p>
        </w:tc>
        <w:tc>
          <w:tcPr>
            <w:tcW w:w="1487"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hint="default"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20000</w:t>
            </w:r>
          </w:p>
        </w:tc>
        <w:tc>
          <w:tcPr>
            <w:tcW w:w="1569"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13760</w:t>
            </w:r>
          </w:p>
        </w:tc>
        <w:tc>
          <w:tcPr>
            <w:tcW w:w="1513"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5.504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32" w:type="dxa"/>
            <w:tcBorders>
              <w:top w:val="single" w:color="auto" w:sz="4" w:space="0"/>
              <w:bottom w:val="single" w:color="auto" w:sz="4" w:space="0"/>
            </w:tcBorders>
            <w:shd w:val="clear" w:color="auto" w:fill="auto"/>
            <w:noWrap w:val="0"/>
            <w:vAlign w:val="center"/>
          </w:tcPr>
          <w:p>
            <w:pPr>
              <w:pStyle w:val="26"/>
              <w:rPr>
                <w:rFonts w:hint="default" w:ascii="Times New Roman" w:hAnsi="Times New Roman" w:eastAsia="宋体" w:cs="Times New Roman"/>
                <w:kern w:val="2"/>
                <w:sz w:val="24"/>
                <w:szCs w:val="24"/>
                <w:lang w:val="en-US" w:eastAsia="zh-CN" w:bidi="ar-SA"/>
              </w:rPr>
            </w:pPr>
            <w:r>
              <w:rPr>
                <w:rFonts w:hint="default" w:cs="Times New Roman"/>
                <w:sz w:val="24"/>
                <w:szCs w:val="24"/>
              </w:rPr>
              <w:t>13</w:t>
            </w:r>
          </w:p>
        </w:tc>
        <w:tc>
          <w:tcPr>
            <w:tcW w:w="2105"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sz w:val="24"/>
                <w:szCs w:val="24"/>
              </w:rPr>
            </w:pPr>
            <w:r>
              <w:rPr>
                <w:rFonts w:hint="default" w:ascii="Times New Roman" w:hAnsi="Times New Roman" w:eastAsia="宋体" w:cs="Times New Roman"/>
                <w:i w:val="0"/>
                <w:iCs w:val="0"/>
                <w:color w:val="000000"/>
                <w:kern w:val="0"/>
                <w:sz w:val="21"/>
                <w:szCs w:val="21"/>
                <w:u w:val="none"/>
                <w:lang w:val="en-US" w:eastAsia="zh-CN" w:bidi="ar"/>
              </w:rPr>
              <w:t>D-09-050</w:t>
            </w:r>
          </w:p>
        </w:tc>
        <w:tc>
          <w:tcPr>
            <w:tcW w:w="1651"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ascii="Times New Roman" w:hAnsi="Times New Roman"/>
                <w:sz w:val="24"/>
                <w:szCs w:val="24"/>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宋体" w:hAnsi="宋体" w:eastAsia="宋体" w:cs="宋体"/>
                <w:i w:val="0"/>
                <w:iCs w:val="0"/>
                <w:color w:val="000000"/>
                <w:kern w:val="0"/>
                <w:sz w:val="21"/>
                <w:szCs w:val="21"/>
                <w:u w:val="none"/>
                <w:lang w:val="en-US" w:eastAsia="zh-CN" w:bidi="ar"/>
              </w:rPr>
              <w:t>柴油</w:t>
            </w:r>
          </w:p>
        </w:tc>
        <w:tc>
          <w:tcPr>
            <w:tcW w:w="1487"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5000</w:t>
            </w:r>
          </w:p>
        </w:tc>
        <w:tc>
          <w:tcPr>
            <w:tcW w:w="1569"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3440</w:t>
            </w:r>
          </w:p>
        </w:tc>
        <w:tc>
          <w:tcPr>
            <w:tcW w:w="1513"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1.376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32" w:type="dxa"/>
            <w:tcBorders>
              <w:top w:val="single" w:color="auto" w:sz="4" w:space="0"/>
              <w:bottom w:val="single" w:color="auto" w:sz="4" w:space="0"/>
            </w:tcBorders>
            <w:shd w:val="clear" w:color="auto" w:fill="auto"/>
            <w:noWrap w:val="0"/>
            <w:vAlign w:val="center"/>
          </w:tcPr>
          <w:p>
            <w:pPr>
              <w:pStyle w:val="26"/>
              <w:rPr>
                <w:rFonts w:hint="default" w:ascii="Times New Roman" w:hAnsi="Times New Roman" w:eastAsia="宋体" w:cs="Times New Roman"/>
                <w:kern w:val="2"/>
                <w:sz w:val="24"/>
                <w:szCs w:val="24"/>
                <w:lang w:val="en-US" w:eastAsia="zh-CN" w:bidi="ar-SA"/>
              </w:rPr>
            </w:pPr>
            <w:r>
              <w:rPr>
                <w:rFonts w:hint="default" w:cs="Times New Roman"/>
                <w:sz w:val="24"/>
                <w:szCs w:val="24"/>
              </w:rPr>
              <w:t>14</w:t>
            </w:r>
          </w:p>
        </w:tc>
        <w:tc>
          <w:tcPr>
            <w:tcW w:w="2105"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sz w:val="24"/>
                <w:szCs w:val="24"/>
              </w:rPr>
            </w:pPr>
            <w:r>
              <w:rPr>
                <w:rFonts w:hint="default" w:ascii="Times New Roman" w:hAnsi="Times New Roman" w:eastAsia="宋体" w:cs="Times New Roman"/>
                <w:i w:val="0"/>
                <w:iCs w:val="0"/>
                <w:color w:val="000000"/>
                <w:kern w:val="0"/>
                <w:sz w:val="21"/>
                <w:szCs w:val="21"/>
                <w:u w:val="none"/>
                <w:lang w:val="en-US" w:eastAsia="zh-CN" w:bidi="ar"/>
              </w:rPr>
              <w:t>G-10-050</w:t>
            </w:r>
          </w:p>
        </w:tc>
        <w:tc>
          <w:tcPr>
            <w:tcW w:w="1651"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ascii="Times New Roman" w:hAnsi="Times New Roman"/>
                <w:sz w:val="24"/>
                <w:szCs w:val="24"/>
              </w:rPr>
            </w:pPr>
            <w:r>
              <w:rPr>
                <w:rFonts w:hint="default" w:ascii="Times New Roman" w:hAnsi="Times New Roman" w:eastAsia="宋体" w:cs="Times New Roman"/>
                <w:i w:val="0"/>
                <w:iCs w:val="0"/>
                <w:color w:val="000000"/>
                <w:kern w:val="0"/>
                <w:sz w:val="21"/>
                <w:szCs w:val="21"/>
                <w:u w:val="none"/>
                <w:lang w:val="en-US" w:eastAsia="zh-CN" w:bidi="ar"/>
              </w:rPr>
              <w:t>92#</w:t>
            </w:r>
            <w:r>
              <w:rPr>
                <w:rFonts w:hint="eastAsia" w:ascii="宋体" w:hAnsi="宋体" w:eastAsia="宋体" w:cs="宋体"/>
                <w:i w:val="0"/>
                <w:iCs w:val="0"/>
                <w:color w:val="000000"/>
                <w:kern w:val="0"/>
                <w:sz w:val="21"/>
                <w:szCs w:val="21"/>
                <w:u w:val="none"/>
                <w:lang w:val="en-US" w:eastAsia="zh-CN" w:bidi="ar"/>
              </w:rPr>
              <w:t>汽油</w:t>
            </w:r>
          </w:p>
        </w:tc>
        <w:tc>
          <w:tcPr>
            <w:tcW w:w="1487"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5000</w:t>
            </w:r>
          </w:p>
        </w:tc>
        <w:tc>
          <w:tcPr>
            <w:tcW w:w="1569"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3000</w:t>
            </w:r>
          </w:p>
        </w:tc>
        <w:tc>
          <w:tcPr>
            <w:tcW w:w="1513"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32" w:type="dxa"/>
            <w:tcBorders>
              <w:top w:val="single" w:color="auto" w:sz="4" w:space="0"/>
              <w:bottom w:val="single" w:color="auto" w:sz="4" w:space="0"/>
            </w:tcBorders>
            <w:shd w:val="clear" w:color="auto" w:fill="auto"/>
            <w:noWrap w:val="0"/>
            <w:vAlign w:val="center"/>
          </w:tcPr>
          <w:p>
            <w:pPr>
              <w:pStyle w:val="26"/>
              <w:rPr>
                <w:rFonts w:hint="default" w:ascii="Times New Roman" w:hAnsi="Times New Roman" w:eastAsia="宋体" w:cs="Times New Roman"/>
                <w:kern w:val="2"/>
                <w:sz w:val="24"/>
                <w:szCs w:val="24"/>
                <w:lang w:val="en-US" w:eastAsia="zh-CN" w:bidi="ar-SA"/>
              </w:rPr>
            </w:pPr>
            <w:r>
              <w:rPr>
                <w:rFonts w:hint="default" w:cs="Times New Roman"/>
                <w:sz w:val="24"/>
                <w:szCs w:val="24"/>
              </w:rPr>
              <w:t>15</w:t>
            </w:r>
          </w:p>
        </w:tc>
        <w:tc>
          <w:tcPr>
            <w:tcW w:w="2105"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sz w:val="24"/>
                <w:szCs w:val="24"/>
              </w:rPr>
            </w:pPr>
            <w:r>
              <w:rPr>
                <w:rFonts w:hint="default" w:ascii="Times New Roman" w:hAnsi="Times New Roman" w:eastAsia="宋体" w:cs="Times New Roman"/>
                <w:i w:val="0"/>
                <w:iCs w:val="0"/>
                <w:color w:val="000000"/>
                <w:kern w:val="0"/>
                <w:sz w:val="21"/>
                <w:szCs w:val="21"/>
                <w:u w:val="none"/>
                <w:lang w:val="en-US" w:eastAsia="zh-CN" w:bidi="ar"/>
              </w:rPr>
              <w:t>D-11-050</w:t>
            </w:r>
          </w:p>
        </w:tc>
        <w:tc>
          <w:tcPr>
            <w:tcW w:w="1651"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ascii="Times New Roman" w:hAnsi="Times New Roman"/>
                <w:sz w:val="24"/>
                <w:szCs w:val="24"/>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宋体" w:hAnsi="宋体" w:eastAsia="宋体" w:cs="宋体"/>
                <w:i w:val="0"/>
                <w:iCs w:val="0"/>
                <w:color w:val="000000"/>
                <w:kern w:val="0"/>
                <w:sz w:val="21"/>
                <w:szCs w:val="21"/>
                <w:u w:val="none"/>
                <w:lang w:val="en-US" w:eastAsia="zh-CN" w:bidi="ar"/>
              </w:rPr>
              <w:t>柴油</w:t>
            </w:r>
          </w:p>
        </w:tc>
        <w:tc>
          <w:tcPr>
            <w:tcW w:w="1487"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5000</w:t>
            </w:r>
          </w:p>
        </w:tc>
        <w:tc>
          <w:tcPr>
            <w:tcW w:w="1569"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3440</w:t>
            </w:r>
          </w:p>
        </w:tc>
        <w:tc>
          <w:tcPr>
            <w:tcW w:w="1513"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1.376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32" w:type="dxa"/>
            <w:tcBorders>
              <w:top w:val="single" w:color="auto" w:sz="4" w:space="0"/>
              <w:bottom w:val="single" w:color="auto" w:sz="4" w:space="0"/>
            </w:tcBorders>
            <w:shd w:val="clear" w:color="auto" w:fill="auto"/>
            <w:noWrap w:val="0"/>
            <w:vAlign w:val="center"/>
          </w:tcPr>
          <w:p>
            <w:pPr>
              <w:pStyle w:val="26"/>
              <w:rPr>
                <w:rFonts w:hint="default" w:ascii="Times New Roman" w:hAnsi="Times New Roman" w:eastAsia="宋体" w:cs="Times New Roman"/>
                <w:kern w:val="2"/>
                <w:sz w:val="24"/>
                <w:szCs w:val="24"/>
                <w:lang w:val="en-US" w:eastAsia="zh-CN" w:bidi="ar-SA"/>
              </w:rPr>
            </w:pPr>
            <w:r>
              <w:rPr>
                <w:rFonts w:hint="default" w:cs="Times New Roman"/>
                <w:sz w:val="24"/>
                <w:szCs w:val="24"/>
              </w:rPr>
              <w:t>16</w:t>
            </w:r>
          </w:p>
        </w:tc>
        <w:tc>
          <w:tcPr>
            <w:tcW w:w="2105"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sz w:val="24"/>
                <w:szCs w:val="24"/>
              </w:rPr>
            </w:pPr>
            <w:r>
              <w:rPr>
                <w:rFonts w:hint="default" w:ascii="Times New Roman" w:hAnsi="Times New Roman" w:eastAsia="宋体" w:cs="Times New Roman"/>
                <w:i w:val="0"/>
                <w:iCs w:val="0"/>
                <w:color w:val="000000"/>
                <w:kern w:val="0"/>
                <w:sz w:val="21"/>
                <w:szCs w:val="21"/>
                <w:u w:val="none"/>
                <w:lang w:val="en-US" w:eastAsia="zh-CN" w:bidi="ar"/>
              </w:rPr>
              <w:t>G-12-050</w:t>
            </w:r>
          </w:p>
        </w:tc>
        <w:tc>
          <w:tcPr>
            <w:tcW w:w="1651"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ascii="Times New Roman" w:hAnsi="Times New Roman"/>
                <w:sz w:val="24"/>
                <w:szCs w:val="24"/>
              </w:rPr>
            </w:pPr>
            <w:r>
              <w:rPr>
                <w:rFonts w:hint="default" w:ascii="Times New Roman" w:hAnsi="Times New Roman" w:eastAsia="宋体" w:cs="Times New Roman"/>
                <w:i w:val="0"/>
                <w:iCs w:val="0"/>
                <w:color w:val="000000"/>
                <w:kern w:val="0"/>
                <w:sz w:val="21"/>
                <w:szCs w:val="21"/>
                <w:u w:val="none"/>
                <w:lang w:val="en-US" w:eastAsia="zh-CN" w:bidi="ar"/>
              </w:rPr>
              <w:t>92#</w:t>
            </w:r>
            <w:r>
              <w:rPr>
                <w:rFonts w:hint="eastAsia" w:ascii="宋体" w:hAnsi="宋体" w:eastAsia="宋体" w:cs="宋体"/>
                <w:i w:val="0"/>
                <w:iCs w:val="0"/>
                <w:color w:val="000000"/>
                <w:kern w:val="0"/>
                <w:sz w:val="21"/>
                <w:szCs w:val="21"/>
                <w:u w:val="none"/>
                <w:lang w:val="en-US" w:eastAsia="zh-CN" w:bidi="ar"/>
              </w:rPr>
              <w:t>汽油</w:t>
            </w:r>
          </w:p>
        </w:tc>
        <w:tc>
          <w:tcPr>
            <w:tcW w:w="1487"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hint="default"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5000</w:t>
            </w:r>
          </w:p>
        </w:tc>
        <w:tc>
          <w:tcPr>
            <w:tcW w:w="1569"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3000</w:t>
            </w:r>
          </w:p>
        </w:tc>
        <w:tc>
          <w:tcPr>
            <w:tcW w:w="1513" w:type="dxa"/>
            <w:tcBorders>
              <w:top w:val="single" w:color="auto" w:sz="4" w:space="0"/>
              <w:bottom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sz w:val="24"/>
                <w:szCs w:val="24"/>
              </w:rPr>
            </w:pPr>
            <w:r>
              <w:rPr>
                <w:rFonts w:hint="default" w:ascii="Times New Roman" w:hAnsi="Times New Roman" w:eastAsia="宋体" w:cs="Times New Roman"/>
                <w:i w:val="0"/>
                <w:iCs w:val="0"/>
                <w:color w:val="000000"/>
                <w:kern w:val="0"/>
                <w:sz w:val="24"/>
                <w:szCs w:val="24"/>
                <w:u w:val="none"/>
                <w:lang w:val="en-US" w:eastAsia="zh-CN" w:bidi="ar"/>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44" w:type="dxa"/>
            <w:gridSpan w:val="5"/>
            <w:tcBorders>
              <w:top w:val="single" w:color="auto" w:sz="4" w:space="0"/>
            </w:tcBorders>
            <w:shd w:val="clear" w:color="auto" w:fill="auto"/>
            <w:noWrap w:val="0"/>
            <w:vAlign w:val="center"/>
          </w:tcPr>
          <w:p>
            <w:pPr>
              <w:pStyle w:val="26"/>
              <w:rPr>
                <w:rFonts w:cs="Times New Roman"/>
                <w:sz w:val="24"/>
                <w:szCs w:val="24"/>
              </w:rPr>
            </w:pPr>
            <w:r>
              <w:rPr>
                <w:rFonts w:cs="Times New Roman"/>
                <w:sz w:val="24"/>
                <w:szCs w:val="24"/>
              </w:rPr>
              <w:t>合计</w:t>
            </w:r>
          </w:p>
        </w:tc>
        <w:tc>
          <w:tcPr>
            <w:tcW w:w="1513" w:type="dxa"/>
            <w:tcBorders>
              <w:top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49.824</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rPr>
        <w:t>根据</w:t>
      </w:r>
      <w:r>
        <w:rPr>
          <w:rFonts w:hint="eastAsia" w:ascii="Times New Roman" w:hAnsi="Times New Roman" w:eastAsia="宋体" w:cs="Times New Roman"/>
          <w:b w:val="0"/>
          <w:bCs w:val="0"/>
          <w:color w:val="auto"/>
          <w:sz w:val="24"/>
          <w:lang w:eastAsia="zh-CN"/>
        </w:rPr>
        <w:t>上</w:t>
      </w:r>
      <w:r>
        <w:rPr>
          <w:rFonts w:hint="default" w:ascii="Times New Roman" w:hAnsi="Times New Roman" w:eastAsia="宋体" w:cs="Times New Roman"/>
          <w:b w:val="0"/>
          <w:bCs w:val="0"/>
          <w:color w:val="auto"/>
          <w:sz w:val="24"/>
        </w:rPr>
        <w:t>表结果</w:t>
      </w:r>
      <w:r>
        <w:rPr>
          <w:rFonts w:hint="eastAsia" w:ascii="Times New Roman" w:hAnsi="Times New Roman" w:eastAsia="宋体" w:cs="Times New Roman"/>
          <w:b w:val="0"/>
          <w:bCs w:val="0"/>
          <w:color w:val="auto"/>
          <w:sz w:val="24"/>
          <w:lang w:eastAsia="zh-CN"/>
        </w:rPr>
        <w:t>可知</w:t>
      </w:r>
      <w:r>
        <w:rPr>
          <w:rFonts w:hint="default" w:ascii="Times New Roman" w:hAnsi="Times New Roman" w:eastAsia="宋体" w:cs="Times New Roman"/>
          <w:b w:val="0"/>
          <w:bCs w:val="0"/>
          <w:color w:val="auto"/>
          <w:sz w:val="24"/>
        </w:rPr>
        <w:t>，本</w:t>
      </w:r>
      <w:r>
        <w:rPr>
          <w:rFonts w:hint="default" w:ascii="Times New Roman" w:hAnsi="Times New Roman" w:eastAsia="宋体" w:cs="Times New Roman"/>
          <w:b w:val="0"/>
          <w:bCs w:val="0"/>
          <w:color w:val="auto"/>
          <w:kern w:val="0"/>
          <w:sz w:val="24"/>
        </w:rPr>
        <w:t>项目</w:t>
      </w:r>
      <w:r>
        <w:rPr>
          <w:rFonts w:hint="eastAsia" w:ascii="Times New Roman" w:hAnsi="Times New Roman" w:eastAsia="宋体" w:cs="Times New Roman"/>
          <w:b w:val="0"/>
          <w:bCs w:val="0"/>
          <w:color w:val="auto"/>
          <w:kern w:val="0"/>
          <w:sz w:val="24"/>
          <w:lang w:eastAsia="zh-CN"/>
        </w:rPr>
        <w:t>柴油</w:t>
      </w:r>
      <w:r>
        <w:rPr>
          <w:rFonts w:hint="eastAsia" w:cs="Times New Roman"/>
          <w:b w:val="0"/>
          <w:bCs w:val="0"/>
          <w:color w:val="auto"/>
          <w:kern w:val="0"/>
          <w:sz w:val="24"/>
          <w:lang w:eastAsia="zh-CN"/>
        </w:rPr>
        <w:t>、石油</w:t>
      </w:r>
      <w:r>
        <w:rPr>
          <w:rFonts w:hint="eastAsia" w:ascii="Times New Roman" w:hAnsi="Times New Roman" w:eastAsia="宋体" w:cs="Times New Roman"/>
          <w:b w:val="0"/>
          <w:bCs w:val="0"/>
          <w:color w:val="auto"/>
          <w:kern w:val="0"/>
          <w:sz w:val="24"/>
          <w:lang w:eastAsia="zh-CN"/>
        </w:rPr>
        <w:t>根据</w:t>
      </w:r>
      <w:r>
        <w:rPr>
          <w:rFonts w:hint="default" w:ascii="Times New Roman" w:hAnsi="Times New Roman" w:eastAsia="宋体" w:cs="Times New Roman"/>
          <w:b w:val="0"/>
          <w:bCs w:val="0"/>
          <w:color w:val="auto"/>
          <w:sz w:val="24"/>
        </w:rPr>
        <w:t>《企业突发环境事件风险分级方法》（HJ941-2018）附录A涉气环境风险物质计算</w:t>
      </w:r>
      <w:r>
        <w:rPr>
          <w:rFonts w:hint="default" w:ascii="Times New Roman" w:hAnsi="Times New Roman" w:eastAsia="宋体" w:cs="Times New Roman"/>
          <w:b w:val="0"/>
          <w:bCs w:val="0"/>
          <w:color w:val="auto"/>
          <w:kern w:val="0"/>
          <w:sz w:val="24"/>
        </w:rPr>
        <w:t>Q值</w:t>
      </w:r>
      <w:r>
        <w:rPr>
          <w:rFonts w:hint="eastAsia" w:ascii="Times New Roman" w:hAnsi="Times New Roman" w:eastAsia="宋体" w:cs="Times New Roman"/>
          <w:b w:val="0"/>
          <w:bCs w:val="0"/>
          <w:color w:val="auto"/>
          <w:kern w:val="0"/>
          <w:sz w:val="24"/>
          <w:lang w:eastAsia="zh-CN"/>
        </w:rPr>
        <w:t>为</w:t>
      </w:r>
      <w:r>
        <w:rPr>
          <w:rFonts w:hint="eastAsia" w:cs="Times New Roman"/>
          <w:b w:val="0"/>
          <w:bCs w:val="0"/>
          <w:color w:val="auto"/>
          <w:kern w:val="0"/>
          <w:sz w:val="24"/>
          <w:lang w:val="en-US" w:eastAsia="zh-CN"/>
        </w:rPr>
        <w:t>49.824</w:t>
      </w:r>
      <w:r>
        <w:rPr>
          <w:rFonts w:hint="default" w:ascii="Times New Roman" w:hAnsi="Times New Roman" w:eastAsia="宋体" w:cs="Times New Roman"/>
          <w:b w:val="0"/>
          <w:bCs w:val="0"/>
          <w:color w:val="auto"/>
          <w:kern w:val="0"/>
          <w:sz w:val="24"/>
        </w:rPr>
        <w:t>，即</w:t>
      </w:r>
      <w:r>
        <w:rPr>
          <w:rFonts w:hint="default" w:cs="Times New Roman"/>
          <w:b w:val="0"/>
          <w:bCs w:val="0"/>
          <w:color w:val="auto"/>
          <w:kern w:val="0"/>
          <w:sz w:val="24"/>
          <w:lang w:val="en-US" w:eastAsia="zh-CN"/>
        </w:rPr>
        <w:t>10≤Q＜100</w:t>
      </w:r>
      <w:r>
        <w:rPr>
          <w:rFonts w:hint="eastAsia" w:cs="Times New Roman"/>
          <w:b w:val="0"/>
          <w:bCs w:val="0"/>
          <w:color w:val="auto"/>
          <w:kern w:val="0"/>
          <w:sz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kern w:val="0"/>
          <w:sz w:val="24"/>
        </w:rPr>
      </w:pPr>
      <w:r>
        <w:rPr>
          <w:rFonts w:hint="default" w:ascii="Times New Roman" w:hAnsi="Times New Roman" w:eastAsia="宋体" w:cs="Times New Roman"/>
          <w:b w:val="0"/>
          <w:bCs w:val="0"/>
          <w:color w:val="auto"/>
          <w:sz w:val="24"/>
        </w:rPr>
        <w:t>因此，本涉气环境风</w:t>
      </w:r>
      <w:r>
        <w:rPr>
          <w:rFonts w:hint="default" w:ascii="Times New Roman" w:hAnsi="Times New Roman" w:eastAsia="宋体" w:cs="Times New Roman"/>
          <w:b w:val="0"/>
          <w:bCs w:val="0"/>
          <w:color w:val="000000"/>
          <w:sz w:val="24"/>
        </w:rPr>
        <w:t>险物质</w:t>
      </w:r>
      <w:r>
        <w:rPr>
          <w:rFonts w:hint="default" w:ascii="Times New Roman" w:hAnsi="Times New Roman" w:eastAsia="宋体" w:cs="Times New Roman"/>
          <w:b w:val="0"/>
          <w:bCs w:val="0"/>
          <w:kern w:val="0"/>
          <w:sz w:val="24"/>
        </w:rPr>
        <w:t>10≤Q＜100</w:t>
      </w:r>
      <w:r>
        <w:rPr>
          <w:rFonts w:hint="default" w:ascii="Times New Roman" w:hAnsi="Times New Roman" w:eastAsia="宋体" w:cs="Times New Roman"/>
          <w:b w:val="0"/>
          <w:bCs w:val="0"/>
          <w:color w:val="000000"/>
          <w:kern w:val="0"/>
          <w:sz w:val="24"/>
        </w:rPr>
        <w:t>，以Q</w:t>
      </w:r>
      <w:r>
        <w:rPr>
          <w:rFonts w:hint="eastAsia" w:cs="Times New Roman"/>
          <w:b w:val="0"/>
          <w:bCs w:val="0"/>
          <w:color w:val="000000"/>
          <w:kern w:val="0"/>
          <w:sz w:val="24"/>
          <w:lang w:val="en-US" w:eastAsia="zh-CN"/>
        </w:rPr>
        <w:t>2</w:t>
      </w:r>
      <w:r>
        <w:rPr>
          <w:rFonts w:hint="default" w:ascii="Times New Roman" w:hAnsi="Times New Roman" w:eastAsia="宋体" w:cs="Times New Roman"/>
          <w:b w:val="0"/>
          <w:bCs w:val="0"/>
          <w:color w:val="000000"/>
          <w:kern w:val="0"/>
          <w:sz w:val="24"/>
        </w:rPr>
        <w:t>表示。</w:t>
      </w:r>
    </w:p>
    <w:p>
      <w:pPr>
        <w:pStyle w:val="22"/>
        <w:keepNext w:val="0"/>
        <w:keepLines w:val="0"/>
        <w:pageBreakBefore w:val="0"/>
        <w:widowControl w:val="0"/>
        <w:kinsoku/>
        <w:wordWrap/>
        <w:overflowPunct/>
        <w:topLinePunct w:val="0"/>
        <w:autoSpaceDE/>
        <w:autoSpaceDN/>
        <w:bidi w:val="0"/>
        <w:adjustRightInd/>
        <w:snapToGrid/>
        <w:spacing w:before="0" w:beforeLines="0" w:after="0" w:afterLines="0" w:line="480" w:lineRule="auto"/>
        <w:textAlignment w:val="auto"/>
        <w:outlineLvl w:val="1"/>
        <w:rPr>
          <w:rFonts w:hint="eastAsia" w:ascii="Times New Roman" w:hAnsi="Times New Roman" w:eastAsia="宋体" w:cs="Times New Roman"/>
          <w:lang w:eastAsia="zh-CN"/>
        </w:rPr>
      </w:pPr>
      <w:bookmarkStart w:id="105" w:name="_Toc28820"/>
      <w:r>
        <w:rPr>
          <w:rFonts w:hint="eastAsia" w:eastAsia="宋体" w:cs="Times New Roman"/>
          <w:lang w:val="en-US" w:eastAsia="zh-CN"/>
        </w:rPr>
        <w:t>7.1</w:t>
      </w:r>
      <w:r>
        <w:rPr>
          <w:rFonts w:hint="default" w:ascii="Times New Roman" w:hAnsi="Times New Roman" w:eastAsia="宋体" w:cs="Times New Roman"/>
        </w:rPr>
        <w:t>.</w:t>
      </w:r>
      <w:r>
        <w:rPr>
          <w:rFonts w:hint="eastAsia" w:ascii="Times New Roman" w:hAnsi="Times New Roman" w:eastAsia="宋体" w:cs="Times New Roman"/>
          <w:lang w:val="en-US" w:eastAsia="zh-CN"/>
        </w:rPr>
        <w:t>2生产工艺过程与大气环境风险控制水平（M）评估</w:t>
      </w:r>
      <w:bookmarkEnd w:id="10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采用评分法对企业生产工艺过程、大气环境风险防控措施及突发大气环境事件发生情况进行评估，将各项指标分值累加，确定企业生产工艺过程与大气环境风险控制水平（M）。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default" w:ascii="Times New Roman" w:hAnsi="Times New Roman" w:eastAsia="宋体" w:cs="Times New Roman"/>
          <w:b w:val="0"/>
          <w:bCs w:val="0"/>
          <w:color w:val="000000"/>
          <w:sz w:val="24"/>
          <w:szCs w:val="24"/>
        </w:rPr>
      </w:pPr>
      <w:bookmarkStart w:id="106" w:name="_Toc13542"/>
      <w:r>
        <w:rPr>
          <w:rFonts w:hint="eastAsia" w:ascii="Times New Roman" w:hAnsi="Times New Roman" w:eastAsia="宋体" w:cs="Times New Roman"/>
          <w:b w:val="0"/>
          <w:bCs w:val="0"/>
          <w:color w:val="000000"/>
          <w:sz w:val="24"/>
          <w:szCs w:val="24"/>
          <w:lang w:val="en-US" w:eastAsia="zh-CN"/>
        </w:rPr>
        <w:t>1、</w:t>
      </w:r>
      <w:r>
        <w:rPr>
          <w:rFonts w:hint="default" w:ascii="Times New Roman" w:hAnsi="Times New Roman" w:eastAsia="宋体" w:cs="Times New Roman"/>
          <w:b w:val="0"/>
          <w:bCs w:val="0"/>
          <w:color w:val="000000"/>
          <w:sz w:val="24"/>
          <w:szCs w:val="24"/>
        </w:rPr>
        <w:t>生产工艺过程含有风险工艺和设备情况</w:t>
      </w:r>
      <w:bookmarkEnd w:id="10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对企业生产工艺过程含有风险工艺和设备情况的评估按照工艺单元进行，具有多套工艺单元的企业，对每套工艺单元分别评分并求和，该指标分值最高为30分。</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4"/>
          <w:szCs w:val="24"/>
        </w:rPr>
      </w:pPr>
      <w:r>
        <w:rPr>
          <w:rFonts w:hint="eastAsia"/>
          <w:b/>
          <w:bCs/>
          <w:sz w:val="24"/>
          <w:szCs w:val="24"/>
        </w:rPr>
        <w:t>表</w:t>
      </w:r>
      <w:r>
        <w:rPr>
          <w:rFonts w:hint="eastAsia"/>
          <w:b/>
          <w:bCs/>
          <w:sz w:val="24"/>
          <w:szCs w:val="24"/>
          <w:lang w:val="en-US" w:eastAsia="zh-CN"/>
        </w:rPr>
        <w:t>7.1</w:t>
      </w:r>
      <w:r>
        <w:rPr>
          <w:rFonts w:hint="eastAsia"/>
          <w:b/>
          <w:bCs/>
          <w:sz w:val="24"/>
          <w:szCs w:val="24"/>
        </w:rPr>
        <w:t>-</w:t>
      </w:r>
      <w:r>
        <w:rPr>
          <w:rFonts w:hint="eastAsia"/>
          <w:b/>
          <w:bCs/>
          <w:sz w:val="24"/>
          <w:szCs w:val="24"/>
          <w:lang w:val="en-US" w:eastAsia="zh-CN"/>
        </w:rPr>
        <w:t>2</w:t>
      </w:r>
      <w:r>
        <w:rPr>
          <w:rFonts w:hint="eastAsia"/>
          <w:b/>
          <w:bCs/>
          <w:sz w:val="24"/>
          <w:szCs w:val="24"/>
        </w:rPr>
        <w:t xml:space="preserve">  企业生产工艺过程评估</w:t>
      </w:r>
    </w:p>
    <w:tbl>
      <w:tblPr>
        <w:tblStyle w:val="15"/>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486"/>
        <w:gridCol w:w="1037"/>
        <w:gridCol w:w="1064"/>
        <w:gridCol w:w="91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486" w:type="dxa"/>
            <w:tcBorders>
              <w:top w:val="single" w:color="000000" w:sz="12" w:space="0"/>
            </w:tcBorders>
            <w:noWrap w:val="0"/>
            <w:vAlign w:val="center"/>
          </w:tcPr>
          <w:p>
            <w:pPr>
              <w:spacing w:line="240" w:lineRule="auto"/>
              <w:ind w:firstLine="0" w:firstLineChars="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评估依据</w:t>
            </w:r>
          </w:p>
        </w:tc>
        <w:tc>
          <w:tcPr>
            <w:tcW w:w="1037" w:type="dxa"/>
            <w:tcBorders>
              <w:top w:val="single" w:color="000000" w:sz="12" w:space="0"/>
            </w:tcBorders>
            <w:noWrap w:val="0"/>
            <w:vAlign w:val="center"/>
          </w:tcPr>
          <w:p>
            <w:pPr>
              <w:spacing w:line="240" w:lineRule="auto"/>
              <w:ind w:firstLine="0" w:firstLineChars="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分值</w:t>
            </w:r>
          </w:p>
        </w:tc>
        <w:tc>
          <w:tcPr>
            <w:tcW w:w="1064" w:type="dxa"/>
            <w:tcBorders>
              <w:top w:val="single" w:color="000000" w:sz="12" w:space="0"/>
            </w:tcBorders>
            <w:noWrap w:val="0"/>
            <w:vAlign w:val="center"/>
          </w:tcPr>
          <w:p>
            <w:pPr>
              <w:spacing w:line="240" w:lineRule="auto"/>
              <w:ind w:firstLine="0" w:firstLineChars="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现状</w:t>
            </w:r>
          </w:p>
        </w:tc>
        <w:tc>
          <w:tcPr>
            <w:tcW w:w="911" w:type="dxa"/>
            <w:tcBorders>
              <w:top w:val="single" w:color="000000" w:sz="12" w:space="0"/>
            </w:tcBorders>
            <w:noWrap w:val="0"/>
            <w:vAlign w:val="center"/>
          </w:tcPr>
          <w:p>
            <w:pPr>
              <w:spacing w:line="240" w:lineRule="auto"/>
              <w:ind w:firstLine="0" w:firstLineChars="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得分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486"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涉及光气及光气化工艺、电解工艺（氯碱）、氯化工艺、硝化工艺、合成氨工艺、裂解（裂化）工艺、氟化工艺、加氢工艺、重氮化工艺、氧化工艺、过氧化工艺、氨基化工艺、磺化工艺、聚合工艺、烷基化工艺、新型煤化工工艺、电石生产工艺、偶氮化工艺</w:t>
            </w:r>
          </w:p>
        </w:tc>
        <w:tc>
          <w:tcPr>
            <w:tcW w:w="1037"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10/每套</w:t>
            </w:r>
          </w:p>
        </w:tc>
        <w:tc>
          <w:tcPr>
            <w:tcW w:w="1064" w:type="dxa"/>
            <w:noWrap w:val="0"/>
            <w:vAlign w:val="center"/>
          </w:tcPr>
          <w:p>
            <w:pPr>
              <w:spacing w:line="240" w:lineRule="auto"/>
              <w:ind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不涉及</w:t>
            </w:r>
          </w:p>
        </w:tc>
        <w:tc>
          <w:tcPr>
            <w:tcW w:w="911"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486"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其他高温或高压、涉及易燃易爆等物质的工艺过程</w:t>
            </w:r>
            <w:r>
              <w:rPr>
                <w:rFonts w:hint="default" w:ascii="Times New Roman" w:hAnsi="Times New Roman" w:eastAsia="宋体" w:cs="Times New Roman"/>
                <w:kern w:val="0"/>
                <w:sz w:val="21"/>
                <w:szCs w:val="21"/>
                <w:vertAlign w:val="superscript"/>
              </w:rPr>
              <w:t>a</w:t>
            </w:r>
          </w:p>
        </w:tc>
        <w:tc>
          <w:tcPr>
            <w:tcW w:w="1037"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5/每套</w:t>
            </w:r>
          </w:p>
        </w:tc>
        <w:tc>
          <w:tcPr>
            <w:tcW w:w="1064"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不涉及</w:t>
            </w:r>
          </w:p>
        </w:tc>
        <w:tc>
          <w:tcPr>
            <w:tcW w:w="911"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486"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具有国家规定限期淘汰的工艺名录和设备</w:t>
            </w:r>
            <w:r>
              <w:rPr>
                <w:rFonts w:hint="default" w:ascii="Times New Roman" w:hAnsi="Times New Roman" w:eastAsia="宋体" w:cs="Times New Roman"/>
                <w:kern w:val="0"/>
                <w:sz w:val="21"/>
                <w:szCs w:val="21"/>
                <w:vertAlign w:val="superscript"/>
              </w:rPr>
              <w:t>b</w:t>
            </w:r>
          </w:p>
        </w:tc>
        <w:tc>
          <w:tcPr>
            <w:tcW w:w="1037"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5/每套</w:t>
            </w:r>
          </w:p>
        </w:tc>
        <w:tc>
          <w:tcPr>
            <w:tcW w:w="1064"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不涉及</w:t>
            </w:r>
          </w:p>
        </w:tc>
        <w:tc>
          <w:tcPr>
            <w:tcW w:w="911"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486"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不涉及以上危险工艺过程或国家规定的禁用工艺/设备</w:t>
            </w:r>
          </w:p>
        </w:tc>
        <w:tc>
          <w:tcPr>
            <w:tcW w:w="1037"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c>
          <w:tcPr>
            <w:tcW w:w="1064"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不涉及</w:t>
            </w:r>
          </w:p>
        </w:tc>
        <w:tc>
          <w:tcPr>
            <w:tcW w:w="911"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523" w:type="dxa"/>
            <w:gridSpan w:val="2"/>
            <w:tcBorders>
              <w:bottom w:val="single" w:color="000000" w:sz="12" w:space="0"/>
            </w:tcBorders>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注：a高温指工艺温度≥300℃，高压指压力容器的设计压力（p）≥10.0MPa，易燃易爆等物质是指按照GB30000.2至GB30000.13所确定的化学物质；b指《产业结构调整指导目录》中有淘汰期限的淘汰类落后生产工艺装备</w:t>
            </w:r>
          </w:p>
        </w:tc>
        <w:tc>
          <w:tcPr>
            <w:tcW w:w="1064" w:type="dxa"/>
            <w:tcBorders>
              <w:bottom w:val="single" w:color="000000" w:sz="12" w:space="0"/>
            </w:tcBorders>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911" w:type="dxa"/>
            <w:tcBorders>
              <w:bottom w:val="single" w:color="000000" w:sz="12" w:space="0"/>
            </w:tcBorders>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通过表7.1</w:t>
      </w:r>
      <w:r>
        <w:rPr>
          <w:rFonts w:hint="eastAsia" w:ascii="Times New Roman" w:hAnsi="Times New Roman" w:eastAsia="宋体" w:cs="Times New Roman"/>
          <w:b w:val="0"/>
          <w:bCs w:val="0"/>
          <w:color w:val="000000"/>
          <w:kern w:val="0"/>
          <w:sz w:val="24"/>
          <w:szCs w:val="24"/>
          <w:lang w:val="en-US" w:eastAsia="zh-CN"/>
        </w:rPr>
        <w:t>-</w:t>
      </w:r>
      <w:r>
        <w:rPr>
          <w:rFonts w:hint="default" w:ascii="Times New Roman" w:hAnsi="Times New Roman" w:eastAsia="宋体" w:cs="Times New Roman"/>
          <w:b w:val="0"/>
          <w:bCs w:val="0"/>
          <w:color w:val="000000"/>
          <w:kern w:val="0"/>
          <w:sz w:val="24"/>
          <w:szCs w:val="24"/>
        </w:rPr>
        <w:t>2分析，企业生产工艺分值为</w:t>
      </w:r>
      <w:r>
        <w:rPr>
          <w:rFonts w:hint="eastAsia" w:ascii="Times New Roman" w:hAnsi="Times New Roman" w:eastAsia="宋体" w:cs="Times New Roman"/>
          <w:b w:val="0"/>
          <w:bCs w:val="0"/>
          <w:color w:val="000000"/>
          <w:kern w:val="0"/>
          <w:sz w:val="24"/>
          <w:szCs w:val="24"/>
          <w:lang w:val="en-US" w:eastAsia="zh-CN"/>
        </w:rPr>
        <w:t>0</w:t>
      </w:r>
      <w:r>
        <w:rPr>
          <w:rFonts w:hint="default" w:ascii="Times New Roman" w:hAnsi="Times New Roman" w:eastAsia="宋体" w:cs="Times New Roman"/>
          <w:b w:val="0"/>
          <w:bCs w:val="0"/>
          <w:color w:val="000000"/>
          <w:kern w:val="0"/>
          <w:sz w:val="24"/>
          <w:szCs w:val="24"/>
        </w:rPr>
        <w:t>分</w:t>
      </w:r>
      <w:r>
        <w:rPr>
          <w:rFonts w:hint="default" w:ascii="Times New Roman" w:hAnsi="Times New Roman" w:eastAsia="宋体" w:cs="Times New Roman"/>
          <w:b w:val="0"/>
          <w:bCs w:val="0"/>
          <w:color w:val="000000"/>
          <w:ker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default" w:ascii="Times New Roman" w:hAnsi="Times New Roman" w:eastAsia="宋体" w:cs="Times New Roman"/>
          <w:b w:val="0"/>
          <w:bCs w:val="0"/>
          <w:color w:val="000000"/>
          <w:sz w:val="24"/>
          <w:szCs w:val="24"/>
        </w:rPr>
      </w:pPr>
      <w:bookmarkStart w:id="107" w:name="_Toc29105"/>
      <w:r>
        <w:rPr>
          <w:rFonts w:hint="eastAsia" w:ascii="Times New Roman" w:hAnsi="Times New Roman" w:eastAsia="宋体" w:cs="Times New Roman"/>
          <w:b w:val="0"/>
          <w:bCs w:val="0"/>
          <w:color w:val="000000"/>
          <w:sz w:val="24"/>
          <w:szCs w:val="24"/>
          <w:lang w:val="en-US" w:eastAsia="zh-CN"/>
        </w:rPr>
        <w:t>2、</w:t>
      </w:r>
      <w:r>
        <w:rPr>
          <w:rFonts w:hint="default" w:ascii="Times New Roman" w:hAnsi="Times New Roman" w:eastAsia="宋体" w:cs="Times New Roman"/>
          <w:b w:val="0"/>
          <w:bCs w:val="0"/>
          <w:color w:val="000000"/>
          <w:sz w:val="24"/>
          <w:szCs w:val="24"/>
        </w:rPr>
        <w:t>大气环境风险防控措施及突发大气环境事件发生情况</w:t>
      </w:r>
      <w:bookmarkEnd w:id="10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企业大气环境风险防控措施及突发大气环境事件发生情况评估指标见表7.1-3。对各项评估指标分别评分、计算总和，各项指标分值合计最高为70分。</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4"/>
          <w:szCs w:val="24"/>
        </w:rPr>
      </w:pPr>
      <w:r>
        <w:rPr>
          <w:rFonts w:hint="eastAsia"/>
          <w:b/>
          <w:bCs/>
          <w:sz w:val="24"/>
          <w:szCs w:val="24"/>
        </w:rPr>
        <w:t>表</w:t>
      </w:r>
      <w:r>
        <w:rPr>
          <w:rFonts w:hint="eastAsia"/>
          <w:b/>
          <w:bCs/>
          <w:sz w:val="24"/>
          <w:szCs w:val="24"/>
          <w:lang w:val="en-US" w:eastAsia="zh-CN"/>
        </w:rPr>
        <w:t>7.1</w:t>
      </w:r>
      <w:r>
        <w:rPr>
          <w:rFonts w:hint="eastAsia"/>
          <w:b/>
          <w:bCs/>
          <w:sz w:val="24"/>
          <w:szCs w:val="24"/>
        </w:rPr>
        <w:t>-</w:t>
      </w:r>
      <w:r>
        <w:rPr>
          <w:rFonts w:hint="eastAsia"/>
          <w:b/>
          <w:bCs/>
          <w:sz w:val="24"/>
          <w:szCs w:val="24"/>
          <w:lang w:val="en-US" w:eastAsia="zh-CN"/>
        </w:rPr>
        <w:t>3</w:t>
      </w:r>
      <w:r>
        <w:rPr>
          <w:rFonts w:hint="eastAsia"/>
          <w:b/>
          <w:bCs/>
          <w:sz w:val="24"/>
          <w:szCs w:val="24"/>
        </w:rPr>
        <w:t xml:space="preserve">  企业大气环境风险防控措施与突发大气环境事件发生情况评估</w:t>
      </w:r>
    </w:p>
    <w:tbl>
      <w:tblPr>
        <w:tblStyle w:val="15"/>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54"/>
        <w:gridCol w:w="4833"/>
        <w:gridCol w:w="1045"/>
        <w:gridCol w:w="1380"/>
        <w:gridCol w:w="90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1" w:hRule="atLeast"/>
          <w:jc w:val="center"/>
        </w:trPr>
        <w:tc>
          <w:tcPr>
            <w:tcW w:w="1254" w:type="dxa"/>
            <w:tcBorders>
              <w:top w:val="single" w:color="000000" w:sz="12" w:space="0"/>
            </w:tcBorders>
            <w:noWrap w:val="0"/>
            <w:vAlign w:val="center"/>
          </w:tcPr>
          <w:p>
            <w:pPr>
              <w:spacing w:line="240" w:lineRule="auto"/>
              <w:ind w:firstLine="0" w:firstLineChars="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评估指标</w:t>
            </w:r>
          </w:p>
        </w:tc>
        <w:tc>
          <w:tcPr>
            <w:tcW w:w="4833" w:type="dxa"/>
            <w:tcBorders>
              <w:top w:val="single" w:color="000000" w:sz="12" w:space="0"/>
            </w:tcBorders>
            <w:noWrap w:val="0"/>
            <w:vAlign w:val="center"/>
          </w:tcPr>
          <w:p>
            <w:pPr>
              <w:spacing w:line="240" w:lineRule="auto"/>
              <w:ind w:firstLine="0" w:firstLineChars="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评估依据</w:t>
            </w:r>
          </w:p>
        </w:tc>
        <w:tc>
          <w:tcPr>
            <w:tcW w:w="1045" w:type="dxa"/>
            <w:tcBorders>
              <w:top w:val="single" w:color="000000" w:sz="12" w:space="0"/>
            </w:tcBorders>
            <w:noWrap w:val="0"/>
            <w:vAlign w:val="center"/>
          </w:tcPr>
          <w:p>
            <w:pPr>
              <w:spacing w:line="240" w:lineRule="auto"/>
              <w:ind w:firstLine="0" w:firstLineChars="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分值</w:t>
            </w:r>
          </w:p>
        </w:tc>
        <w:tc>
          <w:tcPr>
            <w:tcW w:w="1380" w:type="dxa"/>
            <w:tcBorders>
              <w:top w:val="single" w:color="000000" w:sz="12" w:space="0"/>
            </w:tcBorders>
            <w:noWrap w:val="0"/>
            <w:vAlign w:val="top"/>
          </w:tcPr>
          <w:p>
            <w:pPr>
              <w:spacing w:line="240" w:lineRule="auto"/>
              <w:ind w:firstLine="0" w:firstLineChars="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现状</w:t>
            </w:r>
          </w:p>
        </w:tc>
        <w:tc>
          <w:tcPr>
            <w:tcW w:w="905" w:type="dxa"/>
            <w:tcBorders>
              <w:top w:val="single" w:color="000000" w:sz="12" w:space="0"/>
            </w:tcBorders>
            <w:noWrap w:val="0"/>
            <w:vAlign w:val="top"/>
          </w:tcPr>
          <w:p>
            <w:pPr>
              <w:spacing w:line="240" w:lineRule="auto"/>
              <w:ind w:firstLine="0" w:firstLineChars="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得分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45" w:hRule="atLeast"/>
          <w:jc w:val="center"/>
        </w:trPr>
        <w:tc>
          <w:tcPr>
            <w:tcW w:w="1254" w:type="dxa"/>
            <w:vMerge w:val="restart"/>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毒性气体泄漏监控预警措施</w:t>
            </w:r>
          </w:p>
        </w:tc>
        <w:tc>
          <w:tcPr>
            <w:tcW w:w="4833" w:type="dxa"/>
            <w:noWrap w:val="0"/>
            <w:vAlign w:val="center"/>
          </w:tcPr>
          <w:p>
            <w:pPr>
              <w:spacing w:line="240" w:lineRule="auto"/>
              <w:ind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1不涉及附录A中有毒有害气体的；或</w:t>
            </w:r>
          </w:p>
          <w:p>
            <w:pPr>
              <w:spacing w:line="240" w:lineRule="auto"/>
              <w:ind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2根据实际情况，具备有毒有害气体（如硫化氢、氰化氢、氯化氢、光气、氯气、氨气、苯等）厂界泄漏监控预警系统的</w:t>
            </w:r>
          </w:p>
        </w:tc>
        <w:tc>
          <w:tcPr>
            <w:tcW w:w="1045"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c>
          <w:tcPr>
            <w:tcW w:w="1380"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5"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1" w:hRule="atLeast"/>
          <w:jc w:val="center"/>
        </w:trPr>
        <w:tc>
          <w:tcPr>
            <w:tcW w:w="1254" w:type="dxa"/>
            <w:vMerge w:val="continue"/>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p>
        </w:tc>
        <w:tc>
          <w:tcPr>
            <w:tcW w:w="4833" w:type="dxa"/>
            <w:noWrap w:val="0"/>
            <w:vAlign w:val="center"/>
          </w:tcPr>
          <w:p>
            <w:pPr>
              <w:spacing w:line="240" w:lineRule="auto"/>
              <w:ind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不具备厂界有毒有害气体泄漏监控预警系统的</w:t>
            </w:r>
          </w:p>
        </w:tc>
        <w:tc>
          <w:tcPr>
            <w:tcW w:w="1045"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w:t>
            </w:r>
          </w:p>
        </w:tc>
        <w:tc>
          <w:tcPr>
            <w:tcW w:w="1380" w:type="dxa"/>
            <w:noWrap w:val="0"/>
            <w:vAlign w:val="top"/>
          </w:tcPr>
          <w:p>
            <w:pPr>
              <w:spacing w:line="240" w:lineRule="auto"/>
              <w:ind w:firstLine="0" w:firstLineChars="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5" w:type="dxa"/>
            <w:noWrap w:val="0"/>
            <w:vAlign w:val="top"/>
          </w:tcPr>
          <w:p>
            <w:pPr>
              <w:spacing w:line="240" w:lineRule="auto"/>
              <w:ind w:firstLine="0" w:firstLineChars="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1" w:hRule="atLeast"/>
          <w:jc w:val="center"/>
        </w:trPr>
        <w:tc>
          <w:tcPr>
            <w:tcW w:w="1254" w:type="dxa"/>
            <w:vMerge w:val="restart"/>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符合防护距离情况</w:t>
            </w:r>
          </w:p>
        </w:tc>
        <w:tc>
          <w:tcPr>
            <w:tcW w:w="4833" w:type="dxa"/>
            <w:noWrap w:val="0"/>
            <w:vAlign w:val="center"/>
          </w:tcPr>
          <w:p>
            <w:pPr>
              <w:spacing w:line="240" w:lineRule="auto"/>
              <w:ind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符合环评及批复文件防护距离要求的</w:t>
            </w:r>
          </w:p>
        </w:tc>
        <w:tc>
          <w:tcPr>
            <w:tcW w:w="1045"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c>
          <w:tcPr>
            <w:tcW w:w="1380" w:type="dxa"/>
            <w:noWrap w:val="0"/>
            <w:vAlign w:val="top"/>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符合</w:t>
            </w:r>
          </w:p>
        </w:tc>
        <w:tc>
          <w:tcPr>
            <w:tcW w:w="905" w:type="dxa"/>
            <w:noWrap w:val="0"/>
            <w:vAlign w:val="top"/>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1" w:hRule="atLeast"/>
          <w:jc w:val="center"/>
        </w:trPr>
        <w:tc>
          <w:tcPr>
            <w:tcW w:w="1254" w:type="dxa"/>
            <w:vMerge w:val="continue"/>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p>
        </w:tc>
        <w:tc>
          <w:tcPr>
            <w:tcW w:w="4833" w:type="dxa"/>
            <w:noWrap w:val="0"/>
            <w:vAlign w:val="center"/>
          </w:tcPr>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不符合环评及批复文件防护距离要求的</w:t>
            </w:r>
          </w:p>
        </w:tc>
        <w:tc>
          <w:tcPr>
            <w:tcW w:w="1045"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w:t>
            </w:r>
          </w:p>
        </w:tc>
        <w:tc>
          <w:tcPr>
            <w:tcW w:w="1380"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905"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1" w:hRule="atLeast"/>
          <w:jc w:val="center"/>
        </w:trPr>
        <w:tc>
          <w:tcPr>
            <w:tcW w:w="1254" w:type="dxa"/>
            <w:vMerge w:val="restart"/>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近3年内突发大气环境事件发生情况</w:t>
            </w:r>
          </w:p>
        </w:tc>
        <w:tc>
          <w:tcPr>
            <w:tcW w:w="4833" w:type="dxa"/>
            <w:noWrap w:val="0"/>
            <w:vAlign w:val="center"/>
          </w:tcPr>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发生过特别重大或重大等级突发大气环境事件的</w:t>
            </w:r>
          </w:p>
        </w:tc>
        <w:tc>
          <w:tcPr>
            <w:tcW w:w="1045"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w:t>
            </w:r>
          </w:p>
        </w:tc>
        <w:tc>
          <w:tcPr>
            <w:tcW w:w="1380"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905"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1" w:hRule="atLeast"/>
          <w:jc w:val="center"/>
        </w:trPr>
        <w:tc>
          <w:tcPr>
            <w:tcW w:w="1254" w:type="dxa"/>
            <w:vMerge w:val="continue"/>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p>
        </w:tc>
        <w:tc>
          <w:tcPr>
            <w:tcW w:w="4833" w:type="dxa"/>
            <w:noWrap w:val="0"/>
            <w:vAlign w:val="center"/>
          </w:tcPr>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发生过较大等级突发大气环境事件的</w:t>
            </w:r>
          </w:p>
        </w:tc>
        <w:tc>
          <w:tcPr>
            <w:tcW w:w="1045"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15</w:t>
            </w:r>
          </w:p>
        </w:tc>
        <w:tc>
          <w:tcPr>
            <w:tcW w:w="1380"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905"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1" w:hRule="atLeast"/>
          <w:jc w:val="center"/>
        </w:trPr>
        <w:tc>
          <w:tcPr>
            <w:tcW w:w="1254" w:type="dxa"/>
            <w:vMerge w:val="continue"/>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p>
        </w:tc>
        <w:tc>
          <w:tcPr>
            <w:tcW w:w="4833" w:type="dxa"/>
            <w:noWrap w:val="0"/>
            <w:vAlign w:val="center"/>
          </w:tcPr>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发生过一般等级突发大气环境事件的</w:t>
            </w:r>
          </w:p>
        </w:tc>
        <w:tc>
          <w:tcPr>
            <w:tcW w:w="1045"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w:t>
            </w:r>
          </w:p>
        </w:tc>
        <w:tc>
          <w:tcPr>
            <w:tcW w:w="1380"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905"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1" w:hRule="atLeast"/>
          <w:jc w:val="center"/>
        </w:trPr>
        <w:tc>
          <w:tcPr>
            <w:tcW w:w="1254" w:type="dxa"/>
            <w:vMerge w:val="continue"/>
            <w:tcBorders>
              <w:bottom w:val="single" w:color="000000" w:sz="12" w:space="0"/>
            </w:tcBorders>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p>
        </w:tc>
        <w:tc>
          <w:tcPr>
            <w:tcW w:w="4833" w:type="dxa"/>
            <w:tcBorders>
              <w:bottom w:val="single" w:color="000000" w:sz="12" w:space="0"/>
            </w:tcBorders>
            <w:noWrap w:val="0"/>
            <w:vAlign w:val="center"/>
          </w:tcPr>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未发生突发大气环境事件的</w:t>
            </w:r>
          </w:p>
        </w:tc>
        <w:tc>
          <w:tcPr>
            <w:tcW w:w="1045" w:type="dxa"/>
            <w:tcBorders>
              <w:bottom w:val="single" w:color="000000" w:sz="12" w:space="0"/>
            </w:tcBorders>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c>
          <w:tcPr>
            <w:tcW w:w="1380" w:type="dxa"/>
            <w:tcBorders>
              <w:bottom w:val="single" w:color="000000" w:sz="12" w:space="0"/>
            </w:tcBorders>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905" w:type="dxa"/>
            <w:tcBorders>
              <w:bottom w:val="single" w:color="000000" w:sz="12" w:space="0"/>
            </w:tcBorders>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通过</w:t>
      </w:r>
      <w:r>
        <w:rPr>
          <w:rFonts w:hint="eastAsia" w:ascii="Times New Roman" w:hAnsi="Times New Roman" w:eastAsia="宋体" w:cs="Times New Roman"/>
          <w:b w:val="0"/>
          <w:bCs w:val="0"/>
          <w:color w:val="000000"/>
          <w:kern w:val="0"/>
          <w:sz w:val="24"/>
          <w:szCs w:val="24"/>
          <w:lang w:eastAsia="zh-CN"/>
        </w:rPr>
        <w:t>上</w:t>
      </w:r>
      <w:r>
        <w:rPr>
          <w:rFonts w:hint="default" w:ascii="Times New Roman" w:hAnsi="Times New Roman" w:eastAsia="宋体" w:cs="Times New Roman"/>
          <w:b w:val="0"/>
          <w:bCs w:val="0"/>
          <w:color w:val="000000"/>
          <w:kern w:val="0"/>
          <w:sz w:val="24"/>
          <w:szCs w:val="24"/>
        </w:rPr>
        <w:t>表分析，企业大气环境控制水平风险防控措施及突发大气环境事件突发情况发生情况评估分值为</w:t>
      </w:r>
      <w:r>
        <w:rPr>
          <w:rFonts w:hint="eastAsia" w:ascii="Times New Roman" w:hAnsi="Times New Roman" w:eastAsia="宋体" w:cs="Times New Roman"/>
          <w:b w:val="0"/>
          <w:bCs w:val="0"/>
          <w:color w:val="000000"/>
          <w:kern w:val="0"/>
          <w:sz w:val="24"/>
          <w:szCs w:val="24"/>
          <w:lang w:val="en-US" w:eastAsia="zh-CN"/>
        </w:rPr>
        <w:t>0</w:t>
      </w:r>
      <w:r>
        <w:rPr>
          <w:rFonts w:hint="default" w:ascii="Times New Roman" w:hAnsi="Times New Roman" w:eastAsia="宋体" w:cs="Times New Roman"/>
          <w:b w:val="0"/>
          <w:bCs w:val="0"/>
          <w:color w:val="000000"/>
          <w:kern w:val="0"/>
          <w:sz w:val="24"/>
          <w:szCs w:val="24"/>
        </w:rPr>
        <w:t>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default" w:ascii="Times New Roman" w:hAnsi="Times New Roman" w:eastAsia="宋体" w:cs="Times New Roman"/>
          <w:b w:val="0"/>
          <w:bCs w:val="0"/>
          <w:color w:val="000000"/>
          <w:sz w:val="24"/>
          <w:szCs w:val="24"/>
        </w:rPr>
      </w:pPr>
      <w:bookmarkStart w:id="108" w:name="_Toc23020"/>
      <w:r>
        <w:rPr>
          <w:rFonts w:hint="eastAsia" w:ascii="Times New Roman" w:hAnsi="Times New Roman" w:eastAsia="宋体" w:cs="Times New Roman"/>
          <w:b w:val="0"/>
          <w:bCs w:val="0"/>
          <w:color w:val="000000"/>
          <w:sz w:val="24"/>
          <w:szCs w:val="24"/>
          <w:lang w:val="en-US" w:eastAsia="zh-CN"/>
        </w:rPr>
        <w:t>3、</w:t>
      </w:r>
      <w:r>
        <w:rPr>
          <w:rFonts w:hint="default" w:ascii="Times New Roman" w:hAnsi="Times New Roman" w:eastAsia="宋体" w:cs="Times New Roman"/>
          <w:b w:val="0"/>
          <w:bCs w:val="0"/>
          <w:color w:val="000000"/>
          <w:sz w:val="24"/>
          <w:szCs w:val="24"/>
        </w:rPr>
        <w:t>企业生产工艺过程与大气环境风险控制水平</w:t>
      </w:r>
      <w:bookmarkEnd w:id="10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将企业生产工艺过程、大气环境风险防控措施及突发大气环境事件发生情况各项指标评估分值累加，得出生产工艺过程与大气环境风险控制水平值，按照表3划分4个类型。</w:t>
      </w:r>
    </w:p>
    <w:p>
      <w:pPr>
        <w:pStyle w:val="27"/>
        <w:spacing w:before="190"/>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表7.1-4  企业生产工艺过程与环境风险控制水平类型划分</w:t>
      </w:r>
    </w:p>
    <w:tbl>
      <w:tblPr>
        <w:tblStyle w:val="15"/>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722"/>
        <w:gridCol w:w="459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22" w:type="dxa"/>
            <w:tcBorders>
              <w:top w:val="single" w:color="000000" w:sz="12" w:space="0"/>
            </w:tcBorders>
            <w:noWrap w:val="0"/>
            <w:vAlign w:val="center"/>
          </w:tcPr>
          <w:p>
            <w:pPr>
              <w:spacing w:line="240" w:lineRule="auto"/>
              <w:ind w:firstLine="0" w:firstLineChars="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生产工艺过程与环境风险控制水平值</w:t>
            </w:r>
          </w:p>
        </w:tc>
        <w:tc>
          <w:tcPr>
            <w:tcW w:w="4599" w:type="dxa"/>
            <w:tcBorders>
              <w:top w:val="single" w:color="000000" w:sz="12" w:space="0"/>
            </w:tcBorders>
            <w:noWrap w:val="0"/>
            <w:vAlign w:val="center"/>
          </w:tcPr>
          <w:p>
            <w:pPr>
              <w:spacing w:line="240" w:lineRule="auto"/>
              <w:ind w:firstLine="0" w:firstLineChars="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生产工艺过程与环境风险控制水平类型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22"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M&lt;25</w:t>
            </w:r>
          </w:p>
        </w:tc>
        <w:tc>
          <w:tcPr>
            <w:tcW w:w="4599"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22"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25≤M&lt;45</w:t>
            </w:r>
          </w:p>
        </w:tc>
        <w:tc>
          <w:tcPr>
            <w:tcW w:w="4599"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4722"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45≤M&lt;65</w:t>
            </w:r>
          </w:p>
        </w:tc>
        <w:tc>
          <w:tcPr>
            <w:tcW w:w="4599"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22" w:type="dxa"/>
            <w:tcBorders>
              <w:bottom w:val="single" w:color="000000" w:sz="12" w:space="0"/>
            </w:tcBorders>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M≥65</w:t>
            </w:r>
          </w:p>
        </w:tc>
        <w:tc>
          <w:tcPr>
            <w:tcW w:w="4599" w:type="dxa"/>
            <w:tcBorders>
              <w:bottom w:val="single" w:color="000000" w:sz="12" w:space="0"/>
            </w:tcBorders>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M4</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sz w:val="24"/>
        </w:rPr>
      </w:pPr>
      <w:r>
        <w:rPr>
          <w:rFonts w:hint="default" w:ascii="Times New Roman" w:hAnsi="Times New Roman" w:eastAsia="宋体" w:cs="Times New Roman"/>
          <w:color w:val="000000"/>
          <w:kern w:val="0"/>
          <w:sz w:val="24"/>
        </w:rPr>
        <w:t>本公司生产工艺与环境风险控制水平评估指标总分值为</w:t>
      </w:r>
      <w:r>
        <w:rPr>
          <w:rFonts w:hint="eastAsia" w:ascii="Times New Roman" w:hAnsi="Times New Roman" w:eastAsia="宋体" w:cs="Times New Roman"/>
          <w:color w:val="000000"/>
          <w:kern w:val="0"/>
          <w:sz w:val="24"/>
          <w:lang w:val="en-US" w:eastAsia="zh-CN"/>
        </w:rPr>
        <w:t>0</w:t>
      </w:r>
      <w:r>
        <w:rPr>
          <w:rFonts w:hint="default" w:ascii="Times New Roman" w:hAnsi="Times New Roman" w:eastAsia="宋体" w:cs="Times New Roman"/>
          <w:color w:val="000000"/>
          <w:kern w:val="0"/>
          <w:sz w:val="24"/>
        </w:rPr>
        <w:t>分，属于M</w:t>
      </w:r>
      <w:r>
        <w:rPr>
          <w:rFonts w:hint="eastAsia" w:ascii="Times New Roman" w:hAnsi="Times New Roman" w:eastAsia="宋体" w:cs="Times New Roman"/>
          <w:color w:val="000000"/>
          <w:kern w:val="0"/>
          <w:sz w:val="24"/>
          <w:lang w:val="en-US" w:eastAsia="zh-CN"/>
        </w:rPr>
        <w:t>1</w:t>
      </w:r>
      <w:r>
        <w:rPr>
          <w:rFonts w:hint="default" w:ascii="Times New Roman" w:hAnsi="Times New Roman" w:eastAsia="宋体" w:cs="Times New Roman"/>
          <w:color w:val="000000"/>
          <w:kern w:val="0"/>
          <w:sz w:val="24"/>
        </w:rPr>
        <w:t>类水平。</w:t>
      </w:r>
    </w:p>
    <w:p>
      <w:pPr>
        <w:pStyle w:val="22"/>
        <w:keepNext w:val="0"/>
        <w:keepLines w:val="0"/>
        <w:pageBreakBefore w:val="0"/>
        <w:widowControl w:val="0"/>
        <w:kinsoku/>
        <w:wordWrap/>
        <w:overflowPunct/>
        <w:topLinePunct w:val="0"/>
        <w:autoSpaceDE/>
        <w:autoSpaceDN/>
        <w:bidi w:val="0"/>
        <w:adjustRightInd/>
        <w:snapToGrid/>
        <w:spacing w:before="0" w:beforeLines="0" w:after="0" w:afterLines="0" w:line="480" w:lineRule="auto"/>
        <w:textAlignment w:val="auto"/>
        <w:outlineLvl w:val="1"/>
        <w:rPr>
          <w:rFonts w:hint="default" w:ascii="Times New Roman" w:hAnsi="Times New Roman" w:eastAsia="宋体" w:cs="Times New Roman"/>
          <w:lang w:val="en-US" w:eastAsia="zh-CN"/>
        </w:rPr>
      </w:pPr>
      <w:bookmarkStart w:id="109" w:name="_Toc522097203"/>
      <w:bookmarkStart w:id="110" w:name="_Toc521574031"/>
      <w:bookmarkStart w:id="111" w:name="_Toc3668"/>
      <w:bookmarkStart w:id="112" w:name="_Toc11028"/>
      <w:r>
        <w:rPr>
          <w:rFonts w:hint="default" w:ascii="Times New Roman" w:hAnsi="Times New Roman" w:eastAsia="宋体" w:cs="Times New Roman"/>
          <w:lang w:val="en-US" w:eastAsia="zh-CN"/>
        </w:rPr>
        <w:t>7.1.3大气环境风险受体敏感程度（E）评估</w:t>
      </w:r>
      <w:bookmarkEnd w:id="109"/>
      <w:bookmarkEnd w:id="110"/>
      <w:bookmarkEnd w:id="111"/>
      <w:bookmarkEnd w:id="11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大气环境风险受体敏感程度类型按照企业周边人口数进行划分。按照企业周边5公里或500米范围内人口数将大气环境风险受体敏感程度划分为类型1、类型2、和类型3三种类型，分别以E1、E2和E3表示，见表7.1-5。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大气环境风险受体敏感程度按类型1、类型2和类型3顺序依次降低。若企业周边存在多种敏感程度类型的大气环境风险受体，则按敏感程度高者确定企业大气环境风险受体敏感程度类型。</w:t>
      </w:r>
    </w:p>
    <w:p>
      <w:pPr>
        <w:pStyle w:val="27"/>
        <w:spacing w:before="190"/>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表7.1-5  大气环境风险受体敏感程度类型划分</w:t>
      </w:r>
    </w:p>
    <w:tbl>
      <w:tblPr>
        <w:tblStyle w:val="15"/>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737"/>
        <w:gridCol w:w="751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737" w:type="dxa"/>
            <w:tcBorders>
              <w:top w:val="single" w:color="000000" w:sz="12" w:space="0"/>
            </w:tcBorders>
            <w:noWrap w:val="0"/>
            <w:vAlign w:val="center"/>
          </w:tcPr>
          <w:p>
            <w:pPr>
              <w:spacing w:line="240" w:lineRule="auto"/>
              <w:ind w:firstLine="0" w:firstLineChars="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敏感程度类型</w:t>
            </w:r>
          </w:p>
        </w:tc>
        <w:tc>
          <w:tcPr>
            <w:tcW w:w="7513" w:type="dxa"/>
            <w:tcBorders>
              <w:top w:val="single" w:color="000000" w:sz="12" w:space="0"/>
            </w:tcBorders>
            <w:noWrap w:val="0"/>
            <w:vAlign w:val="center"/>
          </w:tcPr>
          <w:p>
            <w:pPr>
              <w:spacing w:line="240" w:lineRule="auto"/>
              <w:ind w:firstLine="0" w:firstLineChars="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大气环境风险受体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737"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类型1</w:t>
            </w:r>
          </w:p>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（E1）</w:t>
            </w:r>
          </w:p>
        </w:tc>
        <w:tc>
          <w:tcPr>
            <w:tcW w:w="7513" w:type="dxa"/>
            <w:noWrap w:val="0"/>
            <w:vAlign w:val="center"/>
          </w:tcPr>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企业周边5公里范围内居住区、医疗卫生机构、文化教育机构、科研单位、行政机关、企事业单位、商场、公园等人口总数5万人以上，或企业周边500米范围内人口总数大于1000人，或企业周边5公里涉及军事禁区、军事管理区、国家相关保密区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737"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类型2</w:t>
            </w:r>
          </w:p>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（E2）</w:t>
            </w:r>
          </w:p>
        </w:tc>
        <w:tc>
          <w:tcPr>
            <w:tcW w:w="7513" w:type="dxa"/>
            <w:noWrap w:val="0"/>
            <w:vAlign w:val="center"/>
          </w:tcPr>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企业周边5公里范围内居住区、医疗卫生机构、文化教育机构、科研单位、行政机关、企事业单位、商场、公园等人口总数1万人以上，5万人以下，或企业周边500米范围内人口总数500人以上、1000人以下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1737" w:type="dxa"/>
            <w:tcBorders>
              <w:bottom w:val="single" w:color="000000" w:sz="12" w:space="0"/>
            </w:tcBorders>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类型3</w:t>
            </w:r>
          </w:p>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（E3）</w:t>
            </w:r>
          </w:p>
        </w:tc>
        <w:tc>
          <w:tcPr>
            <w:tcW w:w="7513" w:type="dxa"/>
            <w:tcBorders>
              <w:bottom w:val="single" w:color="000000" w:sz="12" w:space="0"/>
            </w:tcBorders>
            <w:noWrap w:val="0"/>
            <w:vAlign w:val="center"/>
          </w:tcPr>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企业周边5公里范围内居住区、医疗卫生机构、文化教育机构、科研单位、行政机关、企事业单位、商场、公园等人口总数1万人以下，且企业周边500米范围内人口总数500人以下</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根据章节3.2可知本公司企业周边5公里范围内居住区、医疗卫生机构、文化教育机构、科研单位、行政机关、企事业单位、商场、公园等人口总数</w:t>
      </w:r>
      <w:r>
        <w:rPr>
          <w:rFonts w:hint="eastAsia" w:ascii="Times New Roman" w:hAnsi="Times New Roman" w:eastAsia="宋体" w:cs="Times New Roman"/>
          <w:kern w:val="0"/>
          <w:sz w:val="24"/>
          <w:lang w:val="en-US" w:eastAsia="zh-CN"/>
        </w:rPr>
        <w:t>5</w:t>
      </w:r>
      <w:r>
        <w:rPr>
          <w:rFonts w:hint="default" w:ascii="Times New Roman" w:hAnsi="Times New Roman" w:eastAsia="宋体" w:cs="Times New Roman"/>
          <w:kern w:val="0"/>
          <w:sz w:val="24"/>
        </w:rPr>
        <w:t>万人以上</w:t>
      </w:r>
      <w:r>
        <w:rPr>
          <w:rFonts w:hint="eastAsia" w:ascii="Times New Roman" w:hAnsi="Times New Roman" w:eastAsia="宋体" w:cs="Times New Roman"/>
          <w:kern w:val="0"/>
          <w:sz w:val="24"/>
          <w:lang w:val="en-US" w:eastAsia="zh-CN"/>
        </w:rPr>
        <w:t>，</w:t>
      </w:r>
      <w:r>
        <w:rPr>
          <w:rFonts w:hint="default" w:ascii="Times New Roman" w:hAnsi="Times New Roman" w:eastAsia="宋体" w:cs="Times New Roman"/>
          <w:kern w:val="0"/>
          <w:sz w:val="24"/>
        </w:rPr>
        <w:t>本企业大气环境风险受体敏感程度类型为E</w:t>
      </w:r>
      <w:r>
        <w:rPr>
          <w:rFonts w:hint="eastAsia" w:ascii="Times New Roman" w:hAnsi="Times New Roman" w:eastAsia="宋体" w:cs="Times New Roman"/>
          <w:kern w:val="0"/>
          <w:sz w:val="24"/>
          <w:lang w:val="en-US" w:eastAsia="zh-CN"/>
        </w:rPr>
        <w:t>1</w:t>
      </w:r>
      <w:r>
        <w:rPr>
          <w:rFonts w:hint="default" w:ascii="Times New Roman" w:hAnsi="Times New Roman" w:eastAsia="宋体" w:cs="Times New Roman"/>
          <w:kern w:val="0"/>
          <w:sz w:val="24"/>
        </w:rPr>
        <w:t>。</w:t>
      </w:r>
    </w:p>
    <w:p>
      <w:pPr>
        <w:pStyle w:val="22"/>
        <w:keepNext w:val="0"/>
        <w:keepLines w:val="0"/>
        <w:pageBreakBefore w:val="0"/>
        <w:widowControl w:val="0"/>
        <w:kinsoku/>
        <w:wordWrap/>
        <w:overflowPunct/>
        <w:topLinePunct w:val="0"/>
        <w:autoSpaceDE/>
        <w:autoSpaceDN/>
        <w:bidi w:val="0"/>
        <w:adjustRightInd/>
        <w:snapToGrid/>
        <w:spacing w:before="0" w:beforeLines="0" w:after="0" w:afterLines="0" w:line="480" w:lineRule="auto"/>
        <w:textAlignment w:val="auto"/>
        <w:outlineLvl w:val="1"/>
        <w:rPr>
          <w:rFonts w:hint="default" w:ascii="Times New Roman" w:hAnsi="Times New Roman" w:eastAsia="宋体" w:cs="Times New Roman"/>
          <w:lang w:val="en-US" w:eastAsia="zh-CN"/>
        </w:rPr>
      </w:pPr>
      <w:bookmarkStart w:id="113" w:name="_Toc26129"/>
      <w:bookmarkStart w:id="114" w:name="_Toc10502"/>
      <w:bookmarkStart w:id="115" w:name="_Toc521574032"/>
      <w:bookmarkStart w:id="116" w:name="_Toc522097204"/>
      <w:r>
        <w:rPr>
          <w:rFonts w:hint="default" w:ascii="Times New Roman" w:hAnsi="Times New Roman" w:eastAsia="宋体" w:cs="Times New Roman"/>
          <w:lang w:val="en-US" w:eastAsia="zh-CN"/>
        </w:rPr>
        <w:t>7.1.4企业大气环境事件风险等级确定</w:t>
      </w:r>
      <w:bookmarkEnd w:id="113"/>
      <w:bookmarkEnd w:id="114"/>
      <w:bookmarkEnd w:id="115"/>
      <w:bookmarkEnd w:id="11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根据企业周边大气环境风险受体敏感程度（E）、涉气风险物质数量与临界量比值（Q）和生产工艺过程与大气环境风险控制水平（M），按照下表确定企业突发大气环境事件风险等级。</w:t>
      </w:r>
    </w:p>
    <w:p>
      <w:pPr>
        <w:pStyle w:val="27"/>
        <w:spacing w:before="190"/>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表7.1-6  大气环境风险受体敏感程度类型划分</w:t>
      </w:r>
    </w:p>
    <w:tbl>
      <w:tblPr>
        <w:tblStyle w:val="15"/>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446"/>
        <w:gridCol w:w="2126"/>
        <w:gridCol w:w="1529"/>
        <w:gridCol w:w="1448"/>
        <w:gridCol w:w="1417"/>
        <w:gridCol w:w="133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1446" w:type="dxa"/>
            <w:vMerge w:val="restart"/>
            <w:tcBorders>
              <w:top w:val="single" w:color="000000" w:sz="12" w:space="0"/>
            </w:tcBorders>
            <w:noWrap w:val="0"/>
            <w:vAlign w:val="top"/>
          </w:tcPr>
          <w:p>
            <w:pPr>
              <w:spacing w:line="240" w:lineRule="auto"/>
              <w:ind w:firstLine="0" w:firstLineChars="0"/>
              <w:jc w:val="center"/>
              <w:rPr>
                <w:rFonts w:hint="default" w:ascii="Times New Roman" w:hAnsi="Times New Roman" w:eastAsia="宋体" w:cs="Times New Roman"/>
                <w:kern w:val="0"/>
                <w:sz w:val="21"/>
                <w:szCs w:val="21"/>
              </w:rPr>
            </w:pPr>
          </w:p>
        </w:tc>
        <w:tc>
          <w:tcPr>
            <w:tcW w:w="2126" w:type="dxa"/>
            <w:vMerge w:val="restart"/>
            <w:tcBorders>
              <w:top w:val="single" w:color="000000" w:sz="12" w:space="0"/>
            </w:tcBorders>
            <w:noWrap w:val="0"/>
            <w:vAlign w:val="center"/>
          </w:tcPr>
          <w:p>
            <w:pPr>
              <w:spacing w:line="240" w:lineRule="auto"/>
              <w:ind w:firstLine="0" w:firstLineChars="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环境风险物质数量与临界量比（Q）</w:t>
            </w:r>
          </w:p>
        </w:tc>
        <w:tc>
          <w:tcPr>
            <w:tcW w:w="5725" w:type="dxa"/>
            <w:gridSpan w:val="4"/>
            <w:tcBorders>
              <w:top w:val="single" w:color="000000" w:sz="12" w:space="0"/>
            </w:tcBorders>
            <w:noWrap w:val="0"/>
            <w:vAlign w:val="center"/>
          </w:tcPr>
          <w:p>
            <w:pPr>
              <w:spacing w:line="240" w:lineRule="auto"/>
              <w:ind w:firstLine="0" w:firstLineChars="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生产工艺过程与环境风险控制水平（M）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1446" w:type="dxa"/>
            <w:vMerge w:val="continue"/>
            <w:noWrap w:val="0"/>
            <w:vAlign w:val="top"/>
          </w:tcPr>
          <w:p>
            <w:pPr>
              <w:ind w:firstLine="420"/>
              <w:rPr>
                <w:rFonts w:hint="default" w:ascii="Times New Roman" w:hAnsi="Times New Roman" w:eastAsia="宋体" w:cs="Times New Roman"/>
                <w:sz w:val="21"/>
                <w:szCs w:val="21"/>
              </w:rPr>
            </w:pPr>
          </w:p>
        </w:tc>
        <w:tc>
          <w:tcPr>
            <w:tcW w:w="2126" w:type="dxa"/>
            <w:vMerge w:val="continue"/>
            <w:noWrap w:val="0"/>
            <w:vAlign w:val="center"/>
          </w:tcPr>
          <w:p>
            <w:pPr>
              <w:ind w:firstLine="420"/>
              <w:rPr>
                <w:rFonts w:hint="default" w:ascii="Times New Roman" w:hAnsi="Times New Roman" w:eastAsia="宋体" w:cs="Times New Roman"/>
                <w:sz w:val="21"/>
                <w:szCs w:val="21"/>
              </w:rPr>
            </w:pPr>
          </w:p>
        </w:tc>
        <w:tc>
          <w:tcPr>
            <w:tcW w:w="1529"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M1类水平</w:t>
            </w:r>
          </w:p>
        </w:tc>
        <w:tc>
          <w:tcPr>
            <w:tcW w:w="1448"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M2类水平</w:t>
            </w:r>
          </w:p>
        </w:tc>
        <w:tc>
          <w:tcPr>
            <w:tcW w:w="1417"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M3类水平</w:t>
            </w:r>
          </w:p>
        </w:tc>
        <w:tc>
          <w:tcPr>
            <w:tcW w:w="1331"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M4类水平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3" w:hRule="atLeast"/>
          <w:jc w:val="center"/>
        </w:trPr>
        <w:tc>
          <w:tcPr>
            <w:tcW w:w="1446" w:type="dxa"/>
            <w:vMerge w:val="restart"/>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类型1</w:t>
            </w:r>
          </w:p>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（E1）</w:t>
            </w:r>
          </w:p>
        </w:tc>
        <w:tc>
          <w:tcPr>
            <w:tcW w:w="2126"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1≦Q﹤10（Q1）</w:t>
            </w:r>
          </w:p>
        </w:tc>
        <w:tc>
          <w:tcPr>
            <w:tcW w:w="1529"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xml:space="preserve">较大 </w:t>
            </w:r>
          </w:p>
        </w:tc>
        <w:tc>
          <w:tcPr>
            <w:tcW w:w="1448"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xml:space="preserve">较大 </w:t>
            </w:r>
          </w:p>
        </w:tc>
        <w:tc>
          <w:tcPr>
            <w:tcW w:w="1417"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重大</w:t>
            </w:r>
          </w:p>
        </w:tc>
        <w:tc>
          <w:tcPr>
            <w:tcW w:w="1331"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重大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1446" w:type="dxa"/>
            <w:vMerge w:val="continue"/>
            <w:noWrap w:val="0"/>
            <w:vAlign w:val="top"/>
          </w:tcPr>
          <w:p>
            <w:pPr>
              <w:spacing w:line="240" w:lineRule="auto"/>
              <w:ind w:firstLine="0" w:firstLineChars="0"/>
              <w:jc w:val="center"/>
              <w:rPr>
                <w:rFonts w:hint="default" w:ascii="Times New Roman" w:hAnsi="Times New Roman" w:eastAsia="宋体" w:cs="Times New Roman"/>
                <w:kern w:val="0"/>
                <w:sz w:val="21"/>
                <w:szCs w:val="21"/>
              </w:rPr>
            </w:pPr>
          </w:p>
        </w:tc>
        <w:tc>
          <w:tcPr>
            <w:tcW w:w="2126"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10≦Q﹤100（Q2）</w:t>
            </w:r>
          </w:p>
        </w:tc>
        <w:tc>
          <w:tcPr>
            <w:tcW w:w="1529"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xml:space="preserve">较大 </w:t>
            </w:r>
          </w:p>
        </w:tc>
        <w:tc>
          <w:tcPr>
            <w:tcW w:w="1448"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重大</w:t>
            </w:r>
          </w:p>
        </w:tc>
        <w:tc>
          <w:tcPr>
            <w:tcW w:w="1417"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重大</w:t>
            </w:r>
          </w:p>
        </w:tc>
        <w:tc>
          <w:tcPr>
            <w:tcW w:w="1331"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重大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1446" w:type="dxa"/>
            <w:vMerge w:val="continue"/>
            <w:noWrap w:val="0"/>
            <w:vAlign w:val="top"/>
          </w:tcPr>
          <w:p>
            <w:pPr>
              <w:spacing w:line="240" w:lineRule="auto"/>
              <w:ind w:firstLine="0" w:firstLineChars="0"/>
              <w:jc w:val="center"/>
              <w:rPr>
                <w:rFonts w:hint="default" w:ascii="Times New Roman" w:hAnsi="Times New Roman" w:eastAsia="宋体" w:cs="Times New Roman"/>
                <w:kern w:val="0"/>
                <w:sz w:val="21"/>
                <w:szCs w:val="21"/>
              </w:rPr>
            </w:pPr>
          </w:p>
        </w:tc>
        <w:tc>
          <w:tcPr>
            <w:tcW w:w="2126"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Q≥100（Q3）</w:t>
            </w:r>
          </w:p>
        </w:tc>
        <w:tc>
          <w:tcPr>
            <w:tcW w:w="1529"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重大</w:t>
            </w:r>
          </w:p>
        </w:tc>
        <w:tc>
          <w:tcPr>
            <w:tcW w:w="1448"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重大</w:t>
            </w:r>
          </w:p>
        </w:tc>
        <w:tc>
          <w:tcPr>
            <w:tcW w:w="1417"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重大</w:t>
            </w:r>
          </w:p>
        </w:tc>
        <w:tc>
          <w:tcPr>
            <w:tcW w:w="1331"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重大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9" w:hRule="atLeast"/>
          <w:jc w:val="center"/>
        </w:trPr>
        <w:tc>
          <w:tcPr>
            <w:tcW w:w="1446" w:type="dxa"/>
            <w:vMerge w:val="restart"/>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类型2</w:t>
            </w:r>
          </w:p>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（E2）</w:t>
            </w:r>
          </w:p>
        </w:tc>
        <w:tc>
          <w:tcPr>
            <w:tcW w:w="2126"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1≦Q﹤10（Q1）</w:t>
            </w:r>
          </w:p>
        </w:tc>
        <w:tc>
          <w:tcPr>
            <w:tcW w:w="1529"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一般</w:t>
            </w:r>
          </w:p>
        </w:tc>
        <w:tc>
          <w:tcPr>
            <w:tcW w:w="1448"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xml:space="preserve">较大 </w:t>
            </w:r>
          </w:p>
        </w:tc>
        <w:tc>
          <w:tcPr>
            <w:tcW w:w="1417"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较大</w:t>
            </w:r>
          </w:p>
        </w:tc>
        <w:tc>
          <w:tcPr>
            <w:tcW w:w="1331"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重大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1446" w:type="dxa"/>
            <w:vMerge w:val="continue"/>
            <w:noWrap w:val="0"/>
            <w:vAlign w:val="top"/>
          </w:tcPr>
          <w:p>
            <w:pPr>
              <w:spacing w:line="240" w:lineRule="auto"/>
              <w:ind w:firstLine="0" w:firstLineChars="0"/>
              <w:jc w:val="center"/>
              <w:rPr>
                <w:rFonts w:hint="default" w:ascii="Times New Roman" w:hAnsi="Times New Roman" w:eastAsia="宋体" w:cs="Times New Roman"/>
                <w:kern w:val="0"/>
                <w:sz w:val="21"/>
                <w:szCs w:val="21"/>
              </w:rPr>
            </w:pPr>
          </w:p>
        </w:tc>
        <w:tc>
          <w:tcPr>
            <w:tcW w:w="2126"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10≦Q﹤100（Q2）</w:t>
            </w:r>
          </w:p>
        </w:tc>
        <w:tc>
          <w:tcPr>
            <w:tcW w:w="1529"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xml:space="preserve">较大 </w:t>
            </w:r>
          </w:p>
        </w:tc>
        <w:tc>
          <w:tcPr>
            <w:tcW w:w="1448"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xml:space="preserve">较大 </w:t>
            </w:r>
          </w:p>
        </w:tc>
        <w:tc>
          <w:tcPr>
            <w:tcW w:w="1417"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重大</w:t>
            </w:r>
          </w:p>
        </w:tc>
        <w:tc>
          <w:tcPr>
            <w:tcW w:w="1331"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重大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7" w:hRule="atLeast"/>
          <w:jc w:val="center"/>
        </w:trPr>
        <w:tc>
          <w:tcPr>
            <w:tcW w:w="1446" w:type="dxa"/>
            <w:vMerge w:val="continue"/>
            <w:noWrap w:val="0"/>
            <w:vAlign w:val="top"/>
          </w:tcPr>
          <w:p>
            <w:pPr>
              <w:spacing w:line="240" w:lineRule="auto"/>
              <w:ind w:firstLine="0" w:firstLineChars="0"/>
              <w:jc w:val="center"/>
              <w:rPr>
                <w:rFonts w:hint="default" w:ascii="Times New Roman" w:hAnsi="Times New Roman" w:eastAsia="宋体" w:cs="Times New Roman"/>
                <w:kern w:val="0"/>
                <w:sz w:val="21"/>
                <w:szCs w:val="21"/>
              </w:rPr>
            </w:pPr>
          </w:p>
        </w:tc>
        <w:tc>
          <w:tcPr>
            <w:tcW w:w="2126"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Q≥100（Q3）</w:t>
            </w:r>
          </w:p>
        </w:tc>
        <w:tc>
          <w:tcPr>
            <w:tcW w:w="1529"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xml:space="preserve">较大 </w:t>
            </w:r>
          </w:p>
        </w:tc>
        <w:tc>
          <w:tcPr>
            <w:tcW w:w="1448"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重大</w:t>
            </w:r>
          </w:p>
        </w:tc>
        <w:tc>
          <w:tcPr>
            <w:tcW w:w="1417"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重大</w:t>
            </w:r>
          </w:p>
        </w:tc>
        <w:tc>
          <w:tcPr>
            <w:tcW w:w="1331"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重大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7" w:hRule="atLeast"/>
          <w:jc w:val="center"/>
        </w:trPr>
        <w:tc>
          <w:tcPr>
            <w:tcW w:w="1446" w:type="dxa"/>
            <w:vMerge w:val="restart"/>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类型3</w:t>
            </w:r>
          </w:p>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（E3）</w:t>
            </w:r>
          </w:p>
        </w:tc>
        <w:tc>
          <w:tcPr>
            <w:tcW w:w="2126"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1≦Q﹤10（Q1）</w:t>
            </w:r>
          </w:p>
        </w:tc>
        <w:tc>
          <w:tcPr>
            <w:tcW w:w="1529"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一般</w:t>
            </w:r>
          </w:p>
        </w:tc>
        <w:tc>
          <w:tcPr>
            <w:tcW w:w="1448"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一般</w:t>
            </w:r>
          </w:p>
        </w:tc>
        <w:tc>
          <w:tcPr>
            <w:tcW w:w="1417"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较大</w:t>
            </w:r>
          </w:p>
        </w:tc>
        <w:tc>
          <w:tcPr>
            <w:tcW w:w="1331"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重大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7" w:hRule="atLeast"/>
          <w:jc w:val="center"/>
        </w:trPr>
        <w:tc>
          <w:tcPr>
            <w:tcW w:w="1446" w:type="dxa"/>
            <w:vMerge w:val="continue"/>
            <w:noWrap w:val="0"/>
            <w:vAlign w:val="top"/>
          </w:tcPr>
          <w:p>
            <w:pPr>
              <w:spacing w:line="240" w:lineRule="auto"/>
              <w:ind w:firstLine="0" w:firstLineChars="0"/>
              <w:jc w:val="center"/>
              <w:rPr>
                <w:rFonts w:hint="default" w:ascii="Times New Roman" w:hAnsi="Times New Roman" w:eastAsia="宋体" w:cs="Times New Roman"/>
                <w:kern w:val="0"/>
                <w:sz w:val="21"/>
                <w:szCs w:val="21"/>
              </w:rPr>
            </w:pPr>
          </w:p>
        </w:tc>
        <w:tc>
          <w:tcPr>
            <w:tcW w:w="2126"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10≦Q﹤100（Q2）</w:t>
            </w:r>
          </w:p>
        </w:tc>
        <w:tc>
          <w:tcPr>
            <w:tcW w:w="1529"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一般</w:t>
            </w:r>
          </w:p>
        </w:tc>
        <w:tc>
          <w:tcPr>
            <w:tcW w:w="1448"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xml:space="preserve">较大 </w:t>
            </w:r>
          </w:p>
        </w:tc>
        <w:tc>
          <w:tcPr>
            <w:tcW w:w="1417"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较大</w:t>
            </w:r>
          </w:p>
        </w:tc>
        <w:tc>
          <w:tcPr>
            <w:tcW w:w="1331"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重大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1446" w:type="dxa"/>
            <w:vMerge w:val="continue"/>
            <w:tcBorders>
              <w:bottom w:val="single" w:color="000000" w:sz="12" w:space="0"/>
            </w:tcBorders>
            <w:noWrap w:val="0"/>
            <w:vAlign w:val="top"/>
          </w:tcPr>
          <w:p>
            <w:pPr>
              <w:spacing w:line="240" w:lineRule="auto"/>
              <w:ind w:firstLine="0" w:firstLineChars="0"/>
              <w:jc w:val="center"/>
              <w:rPr>
                <w:rFonts w:hint="default" w:ascii="Times New Roman" w:hAnsi="Times New Roman" w:eastAsia="宋体" w:cs="Times New Roman"/>
                <w:kern w:val="0"/>
                <w:sz w:val="21"/>
                <w:szCs w:val="21"/>
              </w:rPr>
            </w:pPr>
          </w:p>
        </w:tc>
        <w:tc>
          <w:tcPr>
            <w:tcW w:w="2126" w:type="dxa"/>
            <w:tcBorders>
              <w:bottom w:val="single" w:color="000000" w:sz="12" w:space="0"/>
            </w:tcBorders>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Q≥100（Q3）</w:t>
            </w:r>
          </w:p>
        </w:tc>
        <w:tc>
          <w:tcPr>
            <w:tcW w:w="1529" w:type="dxa"/>
            <w:tcBorders>
              <w:bottom w:val="single" w:color="000000" w:sz="12" w:space="0"/>
            </w:tcBorders>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较大</w:t>
            </w:r>
          </w:p>
        </w:tc>
        <w:tc>
          <w:tcPr>
            <w:tcW w:w="1448" w:type="dxa"/>
            <w:tcBorders>
              <w:bottom w:val="single" w:color="000000" w:sz="12" w:space="0"/>
            </w:tcBorders>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xml:space="preserve">较大 </w:t>
            </w:r>
          </w:p>
        </w:tc>
        <w:tc>
          <w:tcPr>
            <w:tcW w:w="1417" w:type="dxa"/>
            <w:tcBorders>
              <w:bottom w:val="single" w:color="000000" w:sz="12" w:space="0"/>
            </w:tcBorders>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重大</w:t>
            </w:r>
          </w:p>
        </w:tc>
        <w:tc>
          <w:tcPr>
            <w:tcW w:w="1331" w:type="dxa"/>
            <w:tcBorders>
              <w:bottom w:val="single" w:color="000000" w:sz="12" w:space="0"/>
            </w:tcBorders>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重大</w:t>
            </w:r>
          </w:p>
        </w:tc>
      </w:tr>
    </w:tbl>
    <w:p>
      <w:pPr>
        <w:pStyle w:val="33"/>
        <w:spacing w:before="190" w:after="190"/>
        <w:outlineLvl w:val="1"/>
        <w:rPr>
          <w:rFonts w:hint="default" w:ascii="Times New Roman" w:hAnsi="Times New Roman" w:eastAsia="宋体" w:cs="Times New Roman"/>
        </w:rPr>
      </w:pPr>
      <w:bookmarkStart w:id="117" w:name="_Toc521574033"/>
      <w:bookmarkStart w:id="118" w:name="_Toc522097205"/>
      <w:bookmarkStart w:id="119" w:name="_Toc14255"/>
      <w:bookmarkStart w:id="120" w:name="_Toc28191"/>
      <w:r>
        <w:rPr>
          <w:rFonts w:hint="default" w:ascii="Times New Roman" w:hAnsi="Times New Roman" w:eastAsia="宋体" w:cs="Times New Roman"/>
        </w:rPr>
        <w:t>7.1.</w:t>
      </w:r>
      <w:r>
        <w:rPr>
          <w:rFonts w:hint="eastAsia" w:cs="Times New Roman"/>
          <w:lang w:val="en-US" w:eastAsia="zh-CN"/>
        </w:rPr>
        <w:t>5</w:t>
      </w:r>
      <w:r>
        <w:rPr>
          <w:rFonts w:hint="default" w:ascii="Times New Roman" w:hAnsi="Times New Roman" w:eastAsia="宋体" w:cs="Times New Roman"/>
        </w:rPr>
        <w:t>突发大气环境事件风险等级表征</w:t>
      </w:r>
      <w:bookmarkEnd w:id="117"/>
      <w:bookmarkEnd w:id="118"/>
      <w:bookmarkEnd w:id="119"/>
      <w:bookmarkEnd w:id="12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企业突发大气环境事件风险等级表征分为两种情况；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sz w:val="24"/>
        </w:rPr>
      </w:pPr>
      <w:r>
        <w:rPr>
          <w:rFonts w:hint="eastAsia" w:ascii="Times New Roman" w:hAnsi="Times New Roman" w:eastAsia="宋体" w:cs="Times New Roman"/>
          <w:kern w:val="0"/>
          <w:sz w:val="24"/>
          <w:lang w:val="en-US" w:eastAsia="zh-CN"/>
        </w:rPr>
        <w:t>1、</w:t>
      </w:r>
      <w:r>
        <w:rPr>
          <w:rFonts w:hint="default" w:ascii="Times New Roman" w:hAnsi="Times New Roman" w:eastAsia="宋体" w:cs="Times New Roman"/>
          <w:kern w:val="0"/>
          <w:sz w:val="24"/>
        </w:rPr>
        <w:t>Q＜1时，企业突发大气环境事件风险等级表示为‘一般-大气（Q0）’。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sz w:val="24"/>
        </w:rPr>
      </w:pPr>
      <w:r>
        <w:rPr>
          <w:rFonts w:hint="eastAsia" w:ascii="Times New Roman" w:hAnsi="Times New Roman" w:eastAsia="宋体" w:cs="Times New Roman"/>
          <w:kern w:val="0"/>
          <w:sz w:val="24"/>
          <w:lang w:val="en-US" w:eastAsia="zh-CN"/>
        </w:rPr>
        <w:t>2、</w:t>
      </w:r>
      <w:r>
        <w:rPr>
          <w:rFonts w:hint="default" w:ascii="Times New Roman" w:hAnsi="Times New Roman" w:eastAsia="宋体" w:cs="Times New Roman"/>
          <w:kern w:val="0"/>
          <w:sz w:val="24"/>
        </w:rPr>
        <w:t>Q≥1时，企业突发大气环境事件风险等级表示为‘环境风险等级-大气（Q水平-M类型-E类型）’。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因此，企业突发大气环境事件风险等级表示为</w:t>
      </w:r>
      <w:r>
        <w:rPr>
          <w:rFonts w:hint="default" w:ascii="Times New Roman" w:hAnsi="Times New Roman" w:eastAsia="宋体" w:cs="Times New Roman"/>
          <w:kern w:val="0"/>
          <w:sz w:val="24"/>
          <w:lang w:eastAsia="zh-CN"/>
        </w:rPr>
        <w:t>“</w:t>
      </w:r>
      <w:r>
        <w:rPr>
          <w:rFonts w:hint="eastAsia" w:ascii="Times New Roman" w:hAnsi="Times New Roman" w:eastAsia="宋体" w:cs="Times New Roman"/>
          <w:kern w:val="0"/>
          <w:sz w:val="24"/>
          <w:lang w:eastAsia="zh-CN"/>
        </w:rPr>
        <w:t>较大</w:t>
      </w:r>
      <w:r>
        <w:rPr>
          <w:rFonts w:hint="default" w:ascii="Times New Roman" w:hAnsi="Times New Roman" w:eastAsia="宋体" w:cs="Times New Roman"/>
          <w:kern w:val="0"/>
          <w:sz w:val="24"/>
          <w:lang w:eastAsia="zh-CN"/>
        </w:rPr>
        <w:t>—大气（</w:t>
      </w:r>
      <w:r>
        <w:rPr>
          <w:rFonts w:hint="default" w:ascii="Times New Roman" w:hAnsi="Times New Roman" w:eastAsia="宋体" w:cs="Times New Roman"/>
          <w:kern w:val="0"/>
          <w:sz w:val="24"/>
          <w:lang w:val="en-US" w:eastAsia="zh-CN"/>
        </w:rPr>
        <w:t>Q</w:t>
      </w:r>
      <w:r>
        <w:rPr>
          <w:rFonts w:hint="eastAsia" w:ascii="Times New Roman" w:hAnsi="Times New Roman" w:eastAsia="宋体" w:cs="Times New Roman"/>
          <w:kern w:val="0"/>
          <w:sz w:val="24"/>
          <w:lang w:val="en-US" w:eastAsia="zh-CN"/>
        </w:rPr>
        <w:t>2-M1-E1</w:t>
      </w:r>
      <w:r>
        <w:rPr>
          <w:rFonts w:hint="default" w:ascii="Times New Roman" w:hAnsi="Times New Roman" w:eastAsia="宋体" w:cs="Times New Roman"/>
          <w:kern w:val="0"/>
          <w:sz w:val="24"/>
          <w:lang w:eastAsia="zh-CN"/>
        </w:rPr>
        <w:t>）”</w:t>
      </w:r>
      <w:r>
        <w:rPr>
          <w:rFonts w:hint="default" w:ascii="Times New Roman" w:hAnsi="Times New Roman" w:eastAsia="宋体" w:cs="Times New Roman"/>
          <w:kern w:val="0"/>
          <w:sz w:val="24"/>
        </w:rPr>
        <w:t>。</w:t>
      </w:r>
    </w:p>
    <w:p>
      <w:pPr>
        <w:pStyle w:val="21"/>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outlineLvl w:val="0"/>
        <w:rPr>
          <w:rFonts w:hint="default" w:ascii="Times New Roman" w:hAnsi="Times New Roman" w:eastAsia="宋体" w:cs="Times New Roman"/>
          <w:sz w:val="30"/>
          <w:szCs w:val="30"/>
          <w:lang w:val="en-US" w:eastAsia="zh-CN"/>
        </w:rPr>
      </w:pPr>
      <w:bookmarkStart w:id="121" w:name="_Toc522097206"/>
      <w:bookmarkStart w:id="122" w:name="_Toc521574034"/>
      <w:bookmarkStart w:id="123" w:name="_Toc10882"/>
      <w:bookmarkStart w:id="124" w:name="_Toc26743"/>
      <w:r>
        <w:rPr>
          <w:rFonts w:hint="default" w:ascii="Times New Roman" w:hAnsi="Times New Roman" w:eastAsia="宋体" w:cs="Times New Roman"/>
          <w:sz w:val="30"/>
          <w:szCs w:val="30"/>
          <w:lang w:val="en-US" w:eastAsia="zh-CN"/>
        </w:rPr>
        <w:t>7.2突发水环境事件风险分级</w:t>
      </w:r>
      <w:bookmarkEnd w:id="121"/>
      <w:bookmarkEnd w:id="122"/>
      <w:bookmarkEnd w:id="123"/>
      <w:bookmarkEnd w:id="124"/>
    </w:p>
    <w:p>
      <w:pPr>
        <w:pStyle w:val="33"/>
        <w:spacing w:before="190" w:after="190"/>
        <w:outlineLvl w:val="1"/>
        <w:rPr>
          <w:rFonts w:hint="default" w:ascii="Times New Roman" w:hAnsi="Times New Roman" w:eastAsia="宋体" w:cs="Times New Roman"/>
        </w:rPr>
      </w:pPr>
      <w:bookmarkStart w:id="125" w:name="_Toc1141"/>
      <w:bookmarkStart w:id="126" w:name="_Toc522097207"/>
      <w:bookmarkStart w:id="127" w:name="_Toc521574035"/>
      <w:bookmarkStart w:id="128" w:name="_Toc18915"/>
      <w:bookmarkStart w:id="129" w:name="_Toc18742"/>
      <w:r>
        <w:rPr>
          <w:rFonts w:hint="default" w:ascii="Times New Roman" w:hAnsi="Times New Roman" w:eastAsia="宋体" w:cs="Times New Roman"/>
        </w:rPr>
        <w:t>7.2.1涉水环境风险物质数量与其临界量比值（Q）</w:t>
      </w:r>
      <w:bookmarkEnd w:id="125"/>
      <w:bookmarkEnd w:id="126"/>
      <w:bookmarkEnd w:id="127"/>
      <w:bookmarkEnd w:id="128"/>
      <w:bookmarkEnd w:id="12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sz w:val="24"/>
        </w:rPr>
      </w:pPr>
      <w:r>
        <w:rPr>
          <w:rFonts w:hint="default" w:ascii="Times New Roman" w:hAnsi="Times New Roman" w:cs="Times New Roman" w:eastAsiaTheme="minorEastAsia"/>
          <w:color w:val="auto"/>
          <w:kern w:val="0"/>
          <w:sz w:val="24"/>
          <w:szCs w:val="24"/>
          <w:highlight w:val="none"/>
        </w:rPr>
        <w:t>根据化学品储存的具体情况，本</w:t>
      </w:r>
      <w:r>
        <w:rPr>
          <w:rFonts w:hint="eastAsia" w:cs="Times New Roman" w:eastAsiaTheme="minorEastAsia"/>
          <w:color w:val="auto"/>
          <w:kern w:val="0"/>
          <w:sz w:val="24"/>
          <w:szCs w:val="24"/>
          <w:highlight w:val="none"/>
          <w:lang w:eastAsia="zh-CN"/>
        </w:rPr>
        <w:t>项目</w:t>
      </w:r>
      <w:r>
        <w:rPr>
          <w:rFonts w:hint="eastAsia" w:ascii="Times New Roman" w:hAnsi="Times New Roman" w:eastAsia="宋体" w:cs="Times New Roman"/>
          <w:kern w:val="0"/>
          <w:sz w:val="24"/>
          <w:szCs w:val="24"/>
          <w:lang w:val="en-US" w:eastAsia="zh-CN"/>
        </w:rPr>
        <w:t>设置的16个储罐主要存储的为柴油和汽油，对照《企业突发环境事件风险分级方法》HJ941-2018中附录A突发环境事件风险物质及临界量清单可知，本项目属于第八部分其他类物质及污染物中392油类物质。由表7.1-1  企业Q值计算可知，项目</w:t>
      </w:r>
      <w:r>
        <w:rPr>
          <w:rFonts w:hint="default" w:ascii="Times New Roman" w:hAnsi="Times New Roman" w:eastAsia="宋体" w:cs="Times New Roman"/>
          <w:b w:val="0"/>
          <w:bCs w:val="0"/>
          <w:color w:val="auto"/>
          <w:kern w:val="0"/>
          <w:sz w:val="24"/>
        </w:rPr>
        <w:t>Q值</w:t>
      </w:r>
      <w:r>
        <w:rPr>
          <w:rFonts w:hint="eastAsia" w:ascii="Times New Roman" w:hAnsi="Times New Roman" w:eastAsia="宋体" w:cs="Times New Roman"/>
          <w:b w:val="0"/>
          <w:bCs w:val="0"/>
          <w:color w:val="auto"/>
          <w:kern w:val="0"/>
          <w:sz w:val="24"/>
          <w:lang w:eastAsia="zh-CN"/>
        </w:rPr>
        <w:t>为</w:t>
      </w:r>
      <w:r>
        <w:rPr>
          <w:rFonts w:hint="eastAsia" w:cs="Times New Roman"/>
          <w:b w:val="0"/>
          <w:bCs w:val="0"/>
          <w:color w:val="auto"/>
          <w:kern w:val="0"/>
          <w:sz w:val="24"/>
          <w:lang w:val="en-US" w:eastAsia="zh-CN"/>
        </w:rPr>
        <w:t>49.824。</w:t>
      </w:r>
      <w:r>
        <w:rPr>
          <w:rFonts w:hint="default" w:ascii="Times New Roman" w:hAnsi="Times New Roman" w:eastAsia="宋体" w:cs="Times New Roman"/>
          <w:kern w:val="0"/>
          <w:sz w:val="24"/>
        </w:rPr>
        <w:t>因此，本涉水环境风险物质以Q</w:t>
      </w:r>
      <w:r>
        <w:rPr>
          <w:rFonts w:hint="eastAsia" w:ascii="Times New Roman" w:hAnsi="Times New Roman" w:eastAsia="宋体" w:cs="Times New Roman"/>
          <w:kern w:val="0"/>
          <w:sz w:val="24"/>
          <w:lang w:val="en-US" w:eastAsia="zh-CN"/>
        </w:rPr>
        <w:t>2</w:t>
      </w:r>
      <w:r>
        <w:rPr>
          <w:rFonts w:hint="default" w:ascii="Times New Roman" w:hAnsi="Times New Roman" w:eastAsia="宋体" w:cs="Times New Roman"/>
          <w:kern w:val="0"/>
          <w:sz w:val="24"/>
        </w:rPr>
        <w:t>表示。</w:t>
      </w:r>
    </w:p>
    <w:p>
      <w:pPr>
        <w:pStyle w:val="33"/>
        <w:spacing w:before="190" w:after="190"/>
        <w:outlineLvl w:val="1"/>
        <w:rPr>
          <w:rFonts w:hint="default" w:ascii="Times New Roman" w:hAnsi="Times New Roman" w:eastAsia="宋体" w:cs="Times New Roman"/>
        </w:rPr>
      </w:pPr>
      <w:bookmarkStart w:id="130" w:name="_Toc521574036"/>
      <w:bookmarkStart w:id="131" w:name="_Toc522097208"/>
      <w:bookmarkStart w:id="132" w:name="_Toc25349"/>
      <w:bookmarkStart w:id="133" w:name="_Toc29078"/>
      <w:bookmarkStart w:id="134" w:name="_Toc521574039"/>
      <w:bookmarkStart w:id="135" w:name="_Toc29019"/>
      <w:bookmarkStart w:id="136" w:name="_Toc522097211"/>
      <w:r>
        <w:rPr>
          <w:rFonts w:hint="default" w:ascii="Times New Roman" w:hAnsi="Times New Roman" w:eastAsia="宋体" w:cs="Times New Roman"/>
        </w:rPr>
        <w:t>7.2.2生产工艺过程与水环境风险控制水平（M）评估</w:t>
      </w:r>
      <w:bookmarkEnd w:id="130"/>
      <w:bookmarkEnd w:id="131"/>
      <w:bookmarkEnd w:id="132"/>
      <w:bookmarkEnd w:id="13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采用评分法对企业生产工艺过程、水环境风险防控措施及突发大气环境事件发生情况进行评估，将各项指标分值累加，确定企业生产工艺过程与大气环境风险控制水平（M）。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default" w:ascii="Times New Roman" w:hAnsi="Times New Roman" w:eastAsia="宋体" w:cs="Times New Roman"/>
          <w:kern w:val="0"/>
          <w:sz w:val="24"/>
        </w:rPr>
      </w:pPr>
      <w:bookmarkStart w:id="137" w:name="_Toc10954"/>
      <w:r>
        <w:rPr>
          <w:rFonts w:hint="eastAsia" w:ascii="Times New Roman" w:hAnsi="Times New Roman" w:eastAsia="宋体" w:cs="Times New Roman"/>
          <w:kern w:val="0"/>
          <w:sz w:val="24"/>
          <w:lang w:val="en-US" w:eastAsia="zh-CN"/>
        </w:rPr>
        <w:t>1、</w:t>
      </w:r>
      <w:r>
        <w:rPr>
          <w:rFonts w:hint="default" w:ascii="Times New Roman" w:hAnsi="Times New Roman" w:eastAsia="宋体" w:cs="Times New Roman"/>
          <w:kern w:val="0"/>
          <w:sz w:val="24"/>
        </w:rPr>
        <w:t>生产工艺过程含有风险工艺和设备情况</w:t>
      </w:r>
      <w:bookmarkEnd w:id="13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对企业生产工艺过程含有风险工艺和设备情况的评估按照工艺单元进行，具有多套工艺单元的企业，对每套工艺单元分别评分并求和，该指标分值最高为30分。同章节7.1.2</w:t>
      </w:r>
      <w:r>
        <w:rPr>
          <w:rFonts w:hint="eastAsia" w:ascii="Times New Roman" w:hAnsi="Times New Roman" w:eastAsia="宋体" w:cs="Times New Roman"/>
          <w:kern w:val="0"/>
          <w:sz w:val="24"/>
          <w:lang w:eastAsia="zh-CN"/>
        </w:rPr>
        <w:t>第一小节可知</w:t>
      </w:r>
      <w:r>
        <w:rPr>
          <w:rFonts w:hint="default" w:ascii="Times New Roman" w:hAnsi="Times New Roman" w:eastAsia="宋体" w:cs="Times New Roman"/>
          <w:kern w:val="0"/>
          <w:sz w:val="24"/>
        </w:rPr>
        <w:t>，企业生产工艺分值为</w:t>
      </w:r>
      <w:r>
        <w:rPr>
          <w:rFonts w:hint="eastAsia" w:ascii="Times New Roman" w:hAnsi="Times New Roman" w:eastAsia="宋体" w:cs="Times New Roman"/>
          <w:kern w:val="0"/>
          <w:sz w:val="24"/>
          <w:lang w:val="en-US" w:eastAsia="zh-CN"/>
        </w:rPr>
        <w:t>0</w:t>
      </w:r>
      <w:r>
        <w:rPr>
          <w:rFonts w:hint="default" w:ascii="Times New Roman" w:hAnsi="Times New Roman" w:eastAsia="宋体" w:cs="Times New Roman"/>
          <w:kern w:val="0"/>
          <w:sz w:val="24"/>
        </w:rPr>
        <w:t>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default" w:ascii="Times New Roman" w:hAnsi="Times New Roman" w:eastAsia="宋体" w:cs="Times New Roman"/>
          <w:kern w:val="0"/>
          <w:sz w:val="24"/>
        </w:rPr>
      </w:pPr>
      <w:bookmarkStart w:id="138" w:name="_Toc29092"/>
      <w:r>
        <w:rPr>
          <w:rFonts w:hint="eastAsia" w:ascii="Times New Roman" w:hAnsi="Times New Roman" w:eastAsia="宋体" w:cs="Times New Roman"/>
          <w:kern w:val="0"/>
          <w:sz w:val="24"/>
          <w:lang w:val="en-US" w:eastAsia="zh-CN"/>
        </w:rPr>
        <w:t>2、</w:t>
      </w:r>
      <w:r>
        <w:rPr>
          <w:rFonts w:hint="default" w:ascii="Times New Roman" w:hAnsi="Times New Roman" w:eastAsia="宋体" w:cs="Times New Roman"/>
          <w:kern w:val="0"/>
          <w:sz w:val="24"/>
        </w:rPr>
        <w:t>水环境风险防控措施及突发水环境事件发生情况</w:t>
      </w:r>
      <w:bookmarkEnd w:id="13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企业水环境风险防控措施及突发水环境事件发生情况评估指标见表7.2.-</w:t>
      </w:r>
      <w:r>
        <w:rPr>
          <w:rFonts w:hint="eastAsia" w:ascii="Times New Roman" w:hAnsi="Times New Roman" w:eastAsia="宋体" w:cs="Times New Roman"/>
          <w:kern w:val="0"/>
          <w:sz w:val="24"/>
          <w:lang w:val="en-US" w:eastAsia="zh-CN"/>
        </w:rPr>
        <w:t>1</w:t>
      </w:r>
      <w:r>
        <w:rPr>
          <w:rFonts w:hint="default" w:ascii="Times New Roman" w:hAnsi="Times New Roman" w:eastAsia="宋体" w:cs="Times New Roman"/>
          <w:kern w:val="0"/>
          <w:sz w:val="24"/>
        </w:rPr>
        <w:t>。对各项评估指标分别评分、计算总和，各项指标分值合计最高为70分。</w:t>
      </w:r>
    </w:p>
    <w:p>
      <w:pPr>
        <w:pStyle w:val="27"/>
        <w:spacing w:before="190"/>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表7.2-</w:t>
      </w:r>
      <w:r>
        <w:rPr>
          <w:rFonts w:hint="eastAsia" w:ascii="Times New Roman" w:hAnsi="Times New Roman" w:eastAsia="宋体" w:cs="Times New Roman"/>
          <w:color w:val="000000"/>
          <w:kern w:val="0"/>
          <w:lang w:val="en-US" w:eastAsia="zh-CN"/>
        </w:rPr>
        <w:t>1</w:t>
      </w:r>
      <w:r>
        <w:rPr>
          <w:rFonts w:hint="default" w:ascii="Times New Roman" w:hAnsi="Times New Roman" w:eastAsia="宋体" w:cs="Times New Roman"/>
          <w:color w:val="000000"/>
          <w:kern w:val="0"/>
        </w:rPr>
        <w:t xml:space="preserve">  企业水环境风险防控措施与突发水环境事件发生情况评估</w:t>
      </w:r>
    </w:p>
    <w:tbl>
      <w:tblPr>
        <w:tblStyle w:val="15"/>
        <w:tblW w:w="967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54"/>
        <w:gridCol w:w="5449"/>
        <w:gridCol w:w="679"/>
        <w:gridCol w:w="1629"/>
        <w:gridCol w:w="76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0" w:hRule="atLeast"/>
          <w:jc w:val="center"/>
        </w:trPr>
        <w:tc>
          <w:tcPr>
            <w:tcW w:w="1154" w:type="dxa"/>
            <w:tcBorders>
              <w:top w:val="single" w:color="000000" w:sz="12" w:space="0"/>
            </w:tcBorders>
            <w:noWrap w:val="0"/>
            <w:vAlign w:val="center"/>
          </w:tcPr>
          <w:p>
            <w:pPr>
              <w:spacing w:line="240" w:lineRule="auto"/>
              <w:ind w:firstLine="0" w:firstLineChars="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评估指标</w:t>
            </w:r>
          </w:p>
        </w:tc>
        <w:tc>
          <w:tcPr>
            <w:tcW w:w="5449" w:type="dxa"/>
            <w:tcBorders>
              <w:top w:val="single" w:color="000000" w:sz="12" w:space="0"/>
            </w:tcBorders>
            <w:noWrap w:val="0"/>
            <w:vAlign w:val="center"/>
          </w:tcPr>
          <w:p>
            <w:pPr>
              <w:spacing w:line="240" w:lineRule="auto"/>
              <w:ind w:firstLine="0" w:firstLineChars="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评估依据</w:t>
            </w:r>
          </w:p>
        </w:tc>
        <w:tc>
          <w:tcPr>
            <w:tcW w:w="679" w:type="dxa"/>
            <w:tcBorders>
              <w:top w:val="single" w:color="000000" w:sz="12" w:space="0"/>
            </w:tcBorders>
            <w:noWrap w:val="0"/>
            <w:vAlign w:val="center"/>
          </w:tcPr>
          <w:p>
            <w:pPr>
              <w:spacing w:line="240" w:lineRule="auto"/>
              <w:ind w:firstLine="0" w:firstLineChars="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分值</w:t>
            </w:r>
          </w:p>
        </w:tc>
        <w:tc>
          <w:tcPr>
            <w:tcW w:w="1629" w:type="dxa"/>
            <w:tcBorders>
              <w:top w:val="single" w:color="000000" w:sz="12" w:space="0"/>
            </w:tcBorders>
            <w:noWrap w:val="0"/>
            <w:vAlign w:val="top"/>
          </w:tcPr>
          <w:p>
            <w:pPr>
              <w:spacing w:line="240" w:lineRule="auto"/>
              <w:ind w:firstLine="0" w:firstLineChars="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本项目</w:t>
            </w:r>
          </w:p>
        </w:tc>
        <w:tc>
          <w:tcPr>
            <w:tcW w:w="767" w:type="dxa"/>
            <w:tcBorders>
              <w:top w:val="single" w:color="000000" w:sz="12" w:space="0"/>
            </w:tcBorders>
            <w:noWrap w:val="0"/>
            <w:vAlign w:val="top"/>
          </w:tcPr>
          <w:p>
            <w:pPr>
              <w:spacing w:line="240" w:lineRule="auto"/>
              <w:ind w:firstLine="0" w:firstLineChars="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得分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5" w:hRule="atLeast"/>
          <w:jc w:val="center"/>
        </w:trPr>
        <w:tc>
          <w:tcPr>
            <w:tcW w:w="1154" w:type="dxa"/>
            <w:vMerge w:val="restart"/>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截留措施</w:t>
            </w:r>
          </w:p>
        </w:tc>
        <w:tc>
          <w:tcPr>
            <w:tcW w:w="5449" w:type="dxa"/>
            <w:noWrap w:val="0"/>
            <w:vAlign w:val="center"/>
          </w:tcPr>
          <w:p>
            <w:pPr>
              <w:spacing w:line="240" w:lineRule="auto"/>
              <w:ind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1环境风险单元设防渗漏、防腐蚀、防淋溶、防流失措施；且</w:t>
            </w:r>
          </w:p>
          <w:p>
            <w:pPr>
              <w:spacing w:line="240" w:lineRule="auto"/>
              <w:ind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2装置围堰与罐区防火堤（围堰）外设排水切换阀，正常情况下通向雨水系统的阀门关闭，通向事故存液池、应急事故水池、清净废水排放缓冲池或污水处理系统的阀门打开；且</w:t>
            </w:r>
          </w:p>
          <w:p>
            <w:pPr>
              <w:spacing w:line="240" w:lineRule="auto"/>
              <w:ind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3前述措施日常管理及维护良好，有专人负责阀门切换或设置自动切换设施，保证初期雨水、泄漏物和受污染的消防水排入污水系统</w:t>
            </w:r>
          </w:p>
        </w:tc>
        <w:tc>
          <w:tcPr>
            <w:tcW w:w="679"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c>
          <w:tcPr>
            <w:tcW w:w="1629" w:type="dxa"/>
            <w:noWrap w:val="0"/>
            <w:vAlign w:val="center"/>
          </w:tcPr>
          <w:p>
            <w:pPr>
              <w:pStyle w:val="35"/>
              <w:numPr>
                <w:ilvl w:val="0"/>
                <w:numId w:val="0"/>
              </w:numPr>
              <w:rPr>
                <w:rFonts w:hint="eastAsia" w:eastAsia="宋体"/>
                <w:lang w:val="en-US" w:eastAsia="zh-CN"/>
              </w:rPr>
            </w:pPr>
            <w:r>
              <w:rPr>
                <w:rFonts w:hint="default" w:ascii="Times New Roman" w:hAnsi="Times New Roman" w:eastAsia="宋体" w:cs="Times New Roman"/>
                <w:kern w:val="0"/>
                <w:sz w:val="21"/>
                <w:szCs w:val="21"/>
              </w:rPr>
              <w:t>前述措施日常管理及维护良好，</w:t>
            </w:r>
            <w:r>
              <w:rPr>
                <w:rFonts w:hint="eastAsia" w:ascii="Times New Roman" w:cs="Times New Roman"/>
                <w:kern w:val="0"/>
                <w:sz w:val="21"/>
                <w:szCs w:val="21"/>
                <w:lang w:eastAsia="zh-CN"/>
              </w:rPr>
              <w:t>且</w:t>
            </w:r>
            <w:r>
              <w:rPr>
                <w:rFonts w:hint="default" w:ascii="Times New Roman" w:hAnsi="Times New Roman" w:eastAsia="宋体" w:cs="Times New Roman"/>
                <w:kern w:val="0"/>
                <w:sz w:val="21"/>
                <w:szCs w:val="21"/>
              </w:rPr>
              <w:t>有专人负责</w:t>
            </w:r>
            <w:r>
              <w:rPr>
                <w:rFonts w:hint="eastAsia" w:ascii="Times New Roman" w:cs="Times New Roman"/>
                <w:kern w:val="0"/>
                <w:sz w:val="21"/>
                <w:szCs w:val="21"/>
                <w:lang w:eastAsia="zh-CN"/>
              </w:rPr>
              <w:t>管理</w:t>
            </w:r>
          </w:p>
        </w:tc>
        <w:tc>
          <w:tcPr>
            <w:tcW w:w="767"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34" w:hRule="atLeast"/>
          <w:jc w:val="center"/>
        </w:trPr>
        <w:tc>
          <w:tcPr>
            <w:tcW w:w="1154" w:type="dxa"/>
            <w:vMerge w:val="continue"/>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p>
        </w:tc>
        <w:tc>
          <w:tcPr>
            <w:tcW w:w="5449" w:type="dxa"/>
            <w:noWrap w:val="0"/>
            <w:vAlign w:val="center"/>
          </w:tcPr>
          <w:p>
            <w:pPr>
              <w:spacing w:line="240" w:lineRule="auto"/>
              <w:ind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有任意一个环境风险单元（包括可能发生液体泄漏或产生液体泄漏物的危险废物贮存场所）的截留措施不符合上述任意一条要求的</w:t>
            </w:r>
          </w:p>
        </w:tc>
        <w:tc>
          <w:tcPr>
            <w:tcW w:w="679"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w:t>
            </w:r>
          </w:p>
        </w:tc>
        <w:tc>
          <w:tcPr>
            <w:tcW w:w="1629"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767" w:type="dxa"/>
            <w:noWrap w:val="0"/>
            <w:vAlign w:val="center"/>
          </w:tcPr>
          <w:p>
            <w:pPr>
              <w:spacing w:line="240" w:lineRule="auto"/>
              <w:ind w:firstLine="0" w:firstLineChars="0"/>
              <w:jc w:val="center"/>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val="en-US" w:eastAsia="zh-CN"/>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982" w:hRule="atLeast"/>
          <w:jc w:val="center"/>
        </w:trPr>
        <w:tc>
          <w:tcPr>
            <w:tcW w:w="1154" w:type="dxa"/>
            <w:vMerge w:val="restart"/>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事故废水收集措施</w:t>
            </w:r>
          </w:p>
        </w:tc>
        <w:tc>
          <w:tcPr>
            <w:tcW w:w="5449" w:type="dxa"/>
            <w:noWrap w:val="0"/>
            <w:vAlign w:val="center"/>
          </w:tcPr>
          <w:p>
            <w:pPr>
              <w:spacing w:line="240" w:lineRule="auto"/>
              <w:ind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1按相关设计规范设置应急事故水池、事故存液池或清净废水排放缓冲池等事故排水收集设施，并根据相关设计规范、下游环境风险受体敏感程度和易发生极端天气情况，设计事故排水收集设施的容量；且</w:t>
            </w:r>
          </w:p>
          <w:p>
            <w:pPr>
              <w:spacing w:line="240" w:lineRule="auto"/>
              <w:ind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2确保事故排水收集设施在事故状态下能顺利收集泄漏物和消防水，日常保持足够的事故排水缓冲容量；且</w:t>
            </w:r>
          </w:p>
          <w:p>
            <w:pPr>
              <w:spacing w:line="240" w:lineRule="auto"/>
              <w:ind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3通过协议单位或自建管线，能将所收集废水送至厂区内污水处理设施处理</w:t>
            </w:r>
          </w:p>
        </w:tc>
        <w:tc>
          <w:tcPr>
            <w:tcW w:w="679"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c>
          <w:tcPr>
            <w:tcW w:w="1629" w:type="dxa"/>
            <w:noWrap w:val="0"/>
            <w:vAlign w:val="center"/>
          </w:tcPr>
          <w:p>
            <w:pPr>
              <w:spacing w:line="240" w:lineRule="auto"/>
              <w:ind w:firstLine="0" w:firstLineChars="0"/>
              <w:jc w:val="center"/>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color w:val="000000"/>
                <w:sz w:val="21"/>
                <w:szCs w:val="21"/>
                <w:lang w:val="en-US" w:eastAsia="zh-CN"/>
              </w:rPr>
              <w:t>项目事故池和初期雨水收集池</w:t>
            </w:r>
            <w:r>
              <w:rPr>
                <w:rFonts w:hint="eastAsia" w:cs="Times New Roman"/>
                <w:color w:val="000000"/>
                <w:sz w:val="21"/>
                <w:szCs w:val="21"/>
                <w:vertAlign w:val="baseline"/>
                <w:lang w:eastAsia="zh-CN"/>
              </w:rPr>
              <w:t>有足够的的事故排水缓冲容量</w:t>
            </w:r>
          </w:p>
        </w:tc>
        <w:tc>
          <w:tcPr>
            <w:tcW w:w="767"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26" w:hRule="atLeast"/>
          <w:jc w:val="center"/>
        </w:trPr>
        <w:tc>
          <w:tcPr>
            <w:tcW w:w="1154" w:type="dxa"/>
            <w:vMerge w:val="continue"/>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p>
        </w:tc>
        <w:tc>
          <w:tcPr>
            <w:tcW w:w="5449" w:type="dxa"/>
            <w:noWrap w:val="0"/>
            <w:vAlign w:val="center"/>
          </w:tcPr>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有任意一个环境风险单元（包括可能发生液体泄漏或产生液体泄漏物的危险废物贮存场所）的事故废水收集措施不符合上述任意一条要求的</w:t>
            </w:r>
          </w:p>
        </w:tc>
        <w:tc>
          <w:tcPr>
            <w:tcW w:w="679"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w:t>
            </w:r>
          </w:p>
        </w:tc>
        <w:tc>
          <w:tcPr>
            <w:tcW w:w="1629"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767"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154" w:type="dxa"/>
            <w:vMerge w:val="restart"/>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清净废水系统风险防控措施</w:t>
            </w:r>
          </w:p>
        </w:tc>
        <w:tc>
          <w:tcPr>
            <w:tcW w:w="5449" w:type="dxa"/>
            <w:noWrap w:val="0"/>
            <w:vAlign w:val="center"/>
          </w:tcPr>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1不涉及清净废水；或</w:t>
            </w:r>
          </w:p>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2厂区内清净废水均可排入废水处理系统；或清污分流，且清净废水体统具有下述所有措施：</w:t>
            </w:r>
          </w:p>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fldChar w:fldCharType="begin"/>
            </w:r>
            <w:r>
              <w:rPr>
                <w:rFonts w:hint="default" w:ascii="Times New Roman" w:hAnsi="Times New Roman" w:eastAsia="宋体" w:cs="Times New Roman"/>
                <w:kern w:val="0"/>
                <w:sz w:val="21"/>
                <w:szCs w:val="21"/>
              </w:rPr>
              <w:instrText xml:space="preserve"> = 1 \* GB3 </w:instrText>
            </w:r>
            <w:r>
              <w:rPr>
                <w:rFonts w:hint="default" w:ascii="Times New Roman" w:hAnsi="Times New Roman" w:eastAsia="宋体" w:cs="Times New Roman"/>
                <w:kern w:val="0"/>
                <w:sz w:val="21"/>
                <w:szCs w:val="21"/>
              </w:rPr>
              <w:fldChar w:fldCharType="separate"/>
            </w:r>
            <w:r>
              <w:rPr>
                <w:rFonts w:hint="default" w:ascii="Times New Roman" w:hAnsi="Times New Roman" w:eastAsia="宋体" w:cs="Times New Roman"/>
                <w:kern w:val="0"/>
                <w:sz w:val="21"/>
                <w:szCs w:val="21"/>
              </w:rPr>
              <w:t>①</w:t>
            </w:r>
            <w:r>
              <w:rPr>
                <w:rFonts w:hint="default" w:ascii="Times New Roman" w:hAnsi="Times New Roman" w:eastAsia="宋体" w:cs="Times New Roman"/>
                <w:kern w:val="0"/>
                <w:sz w:val="21"/>
                <w:szCs w:val="21"/>
              </w:rPr>
              <w:fldChar w:fldCharType="end"/>
            </w:r>
            <w:r>
              <w:rPr>
                <w:rFonts w:hint="default" w:ascii="Times New Roman" w:hAnsi="Times New Roman" w:eastAsia="宋体" w:cs="Times New Roman"/>
                <w:kern w:val="0"/>
                <w:sz w:val="21"/>
                <w:szCs w:val="21"/>
              </w:rPr>
              <w:t>具有收集受污染的清净废水的缓冲池（或收集池），池内日常保持足够的事故排水缓冲容量；池内设有提升设施或通过自流，能将所收集物送至厂区内污水处理设施处理；且</w:t>
            </w:r>
          </w:p>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fldChar w:fldCharType="begin"/>
            </w:r>
            <w:r>
              <w:rPr>
                <w:rFonts w:hint="default" w:ascii="Times New Roman" w:hAnsi="Times New Roman" w:eastAsia="宋体" w:cs="Times New Roman"/>
                <w:kern w:val="0"/>
                <w:sz w:val="21"/>
                <w:szCs w:val="21"/>
              </w:rPr>
              <w:instrText xml:space="preserve"> = 2 \* GB3 </w:instrText>
            </w:r>
            <w:r>
              <w:rPr>
                <w:rFonts w:hint="default" w:ascii="Times New Roman" w:hAnsi="Times New Roman" w:eastAsia="宋体" w:cs="Times New Roman"/>
                <w:kern w:val="0"/>
                <w:sz w:val="21"/>
                <w:szCs w:val="21"/>
              </w:rPr>
              <w:fldChar w:fldCharType="separate"/>
            </w:r>
            <w:r>
              <w:rPr>
                <w:rFonts w:hint="default" w:ascii="Times New Roman" w:hAnsi="Times New Roman" w:eastAsia="宋体" w:cs="Times New Roman"/>
                <w:kern w:val="0"/>
                <w:sz w:val="21"/>
                <w:szCs w:val="21"/>
              </w:rPr>
              <w:t>②</w:t>
            </w:r>
            <w:r>
              <w:rPr>
                <w:rFonts w:hint="default" w:ascii="Times New Roman" w:hAnsi="Times New Roman" w:eastAsia="宋体" w:cs="Times New Roman"/>
                <w:kern w:val="0"/>
                <w:sz w:val="21"/>
                <w:szCs w:val="21"/>
              </w:rPr>
              <w:fldChar w:fldCharType="end"/>
            </w:r>
            <w:r>
              <w:rPr>
                <w:rFonts w:hint="default" w:ascii="Times New Roman" w:hAnsi="Times New Roman" w:eastAsia="宋体" w:cs="Times New Roman"/>
                <w:kern w:val="0"/>
                <w:sz w:val="21"/>
                <w:szCs w:val="21"/>
              </w:rPr>
              <w:t>具有清净废水系统的总排口监视及关闭设施，有专人负责在紧急情况下关闭清净废水总排口，防止受污染的清净废水和泄漏物进入外环境。</w:t>
            </w:r>
          </w:p>
        </w:tc>
        <w:tc>
          <w:tcPr>
            <w:tcW w:w="679"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c>
          <w:tcPr>
            <w:tcW w:w="1629"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本项目不涉及清净下水排放</w:t>
            </w:r>
          </w:p>
        </w:tc>
        <w:tc>
          <w:tcPr>
            <w:tcW w:w="767"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154" w:type="dxa"/>
            <w:vMerge w:val="continue"/>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p>
        </w:tc>
        <w:tc>
          <w:tcPr>
            <w:tcW w:w="5449" w:type="dxa"/>
            <w:noWrap w:val="0"/>
            <w:vAlign w:val="center"/>
          </w:tcPr>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涉及清净废水，有任意一个环境风险单元的清净废水系统风险防控措施不符合上述2要求的</w:t>
            </w:r>
          </w:p>
        </w:tc>
        <w:tc>
          <w:tcPr>
            <w:tcW w:w="679"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w:t>
            </w:r>
          </w:p>
        </w:tc>
        <w:tc>
          <w:tcPr>
            <w:tcW w:w="1629"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767"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37" w:hRule="atLeast"/>
          <w:jc w:val="center"/>
        </w:trPr>
        <w:tc>
          <w:tcPr>
            <w:tcW w:w="1154" w:type="dxa"/>
            <w:vMerge w:val="restart"/>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雨水排水系统风险防控措施</w:t>
            </w:r>
          </w:p>
        </w:tc>
        <w:tc>
          <w:tcPr>
            <w:tcW w:w="5449" w:type="dxa"/>
            <w:noWrap w:val="0"/>
            <w:vAlign w:val="center"/>
          </w:tcPr>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1厂区内雨水均进入废水处理系统；或雨污分流，且雨水排水系统具有下述所有措施：</w:t>
            </w:r>
          </w:p>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fldChar w:fldCharType="begin"/>
            </w:r>
            <w:r>
              <w:rPr>
                <w:rFonts w:hint="default" w:ascii="Times New Roman" w:hAnsi="Times New Roman" w:eastAsia="宋体" w:cs="Times New Roman"/>
                <w:kern w:val="0"/>
                <w:sz w:val="21"/>
                <w:szCs w:val="21"/>
              </w:rPr>
              <w:instrText xml:space="preserve"> = 1 \* GB3 </w:instrText>
            </w:r>
            <w:r>
              <w:rPr>
                <w:rFonts w:hint="default" w:ascii="Times New Roman" w:hAnsi="Times New Roman" w:eastAsia="宋体" w:cs="Times New Roman"/>
                <w:kern w:val="0"/>
                <w:sz w:val="21"/>
                <w:szCs w:val="21"/>
              </w:rPr>
              <w:fldChar w:fldCharType="separate"/>
            </w:r>
            <w:r>
              <w:rPr>
                <w:rFonts w:hint="default" w:ascii="Times New Roman" w:hAnsi="Times New Roman" w:eastAsia="宋体" w:cs="Times New Roman"/>
                <w:kern w:val="0"/>
                <w:sz w:val="21"/>
                <w:szCs w:val="21"/>
              </w:rPr>
              <w:t>①</w:t>
            </w:r>
            <w:r>
              <w:rPr>
                <w:rFonts w:hint="default" w:ascii="Times New Roman" w:hAnsi="Times New Roman" w:eastAsia="宋体" w:cs="Times New Roman"/>
                <w:kern w:val="0"/>
                <w:sz w:val="21"/>
                <w:szCs w:val="21"/>
              </w:rPr>
              <w:fldChar w:fldCharType="end"/>
            </w:r>
            <w:r>
              <w:rPr>
                <w:rFonts w:hint="default" w:ascii="Times New Roman" w:hAnsi="Times New Roman" w:eastAsia="宋体" w:cs="Times New Roman"/>
                <w:kern w:val="0"/>
                <w:sz w:val="21"/>
                <w:szCs w:val="21"/>
              </w:rPr>
              <w:t>具有收集初期雨水的收集池或雨水监控池；池出水管上设置切断阀，正常情况下阀门关闭，防止受污染的雨水外排；池内设有提升设施或通过自流，能将所收集物送至厂区内污水处理设施处理；</w:t>
            </w:r>
          </w:p>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fldChar w:fldCharType="begin"/>
            </w:r>
            <w:r>
              <w:rPr>
                <w:rFonts w:hint="default" w:ascii="Times New Roman" w:hAnsi="Times New Roman" w:eastAsia="宋体" w:cs="Times New Roman"/>
                <w:kern w:val="0"/>
                <w:sz w:val="21"/>
                <w:szCs w:val="21"/>
              </w:rPr>
              <w:instrText xml:space="preserve"> = 2 \* GB3 </w:instrText>
            </w:r>
            <w:r>
              <w:rPr>
                <w:rFonts w:hint="default" w:ascii="Times New Roman" w:hAnsi="Times New Roman" w:eastAsia="宋体" w:cs="Times New Roman"/>
                <w:kern w:val="0"/>
                <w:sz w:val="21"/>
                <w:szCs w:val="21"/>
              </w:rPr>
              <w:fldChar w:fldCharType="separate"/>
            </w:r>
            <w:r>
              <w:rPr>
                <w:rFonts w:hint="default" w:ascii="Times New Roman" w:hAnsi="Times New Roman" w:eastAsia="宋体" w:cs="Times New Roman"/>
                <w:kern w:val="0"/>
                <w:sz w:val="21"/>
                <w:szCs w:val="21"/>
              </w:rPr>
              <w:t>②</w:t>
            </w:r>
            <w:r>
              <w:rPr>
                <w:rFonts w:hint="default" w:ascii="Times New Roman" w:hAnsi="Times New Roman" w:eastAsia="宋体" w:cs="Times New Roman"/>
                <w:kern w:val="0"/>
                <w:sz w:val="21"/>
                <w:szCs w:val="21"/>
              </w:rPr>
              <w:fldChar w:fldCharType="end"/>
            </w:r>
            <w:r>
              <w:rPr>
                <w:rFonts w:hint="default" w:ascii="Times New Roman" w:hAnsi="Times New Roman" w:eastAsia="宋体" w:cs="Times New Roman"/>
                <w:kern w:val="0"/>
                <w:sz w:val="21"/>
                <w:szCs w:val="21"/>
              </w:rPr>
              <w:t>具有雨水系统总排口（含洪泄渠）监视及关闭设施，在紧急情况下有专人负责关闭雨水系统总排口（含与清净废水共用一套排水系统情况），防止雨水、消防水和泄漏物进入外环境</w:t>
            </w:r>
          </w:p>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2如果有排洪沟，排洪沟不得通过生产区和罐区，或具有防止泄漏物和受污染的消防水等流入区域排洪沟的措施</w:t>
            </w:r>
          </w:p>
        </w:tc>
        <w:tc>
          <w:tcPr>
            <w:tcW w:w="679"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c>
          <w:tcPr>
            <w:tcW w:w="1629" w:type="dxa"/>
            <w:noWrap w:val="0"/>
            <w:vAlign w:val="center"/>
          </w:tcPr>
          <w:p>
            <w:pPr>
              <w:spacing w:line="240" w:lineRule="auto"/>
              <w:ind w:firstLine="0" w:firstLineChars="0"/>
              <w:jc w:val="center"/>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color w:val="000000"/>
                <w:sz w:val="21"/>
                <w:szCs w:val="21"/>
                <w:lang w:eastAsia="zh-CN"/>
              </w:rPr>
              <w:t>有3个初期雨水收集池。满足收集需求</w:t>
            </w:r>
            <w:r>
              <w:rPr>
                <w:rFonts w:hint="eastAsia" w:cs="Times New Roman"/>
                <w:color w:val="000000"/>
                <w:sz w:val="21"/>
                <w:szCs w:val="21"/>
                <w:vertAlign w:val="baseline"/>
                <w:lang w:eastAsia="zh-CN"/>
              </w:rPr>
              <w:t>。</w:t>
            </w:r>
            <w:r>
              <w:rPr>
                <w:rFonts w:hint="eastAsia" w:ascii="Times New Roman" w:hAnsi="Times New Roman" w:eastAsia="宋体" w:cs="Times New Roman"/>
                <w:kern w:val="0"/>
                <w:sz w:val="21"/>
                <w:szCs w:val="21"/>
                <w:lang w:eastAsia="zh-CN"/>
              </w:rPr>
              <w:t>雨水排放口安装在线监测设施</w:t>
            </w:r>
            <w:r>
              <w:rPr>
                <w:rFonts w:hint="default" w:ascii="Times New Roman" w:hAnsi="Times New Roman" w:eastAsia="宋体" w:cs="Times New Roman"/>
                <w:kern w:val="0"/>
                <w:sz w:val="21"/>
                <w:szCs w:val="21"/>
              </w:rPr>
              <w:t>。</w:t>
            </w:r>
          </w:p>
        </w:tc>
        <w:tc>
          <w:tcPr>
            <w:tcW w:w="767"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8" w:hRule="atLeast"/>
          <w:jc w:val="center"/>
        </w:trPr>
        <w:tc>
          <w:tcPr>
            <w:tcW w:w="1154" w:type="dxa"/>
            <w:vMerge w:val="continue"/>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p>
        </w:tc>
        <w:tc>
          <w:tcPr>
            <w:tcW w:w="5449" w:type="dxa"/>
            <w:noWrap w:val="0"/>
            <w:vAlign w:val="center"/>
          </w:tcPr>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不符合上述要求的</w:t>
            </w:r>
          </w:p>
        </w:tc>
        <w:tc>
          <w:tcPr>
            <w:tcW w:w="679"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w:t>
            </w:r>
          </w:p>
        </w:tc>
        <w:tc>
          <w:tcPr>
            <w:tcW w:w="1629"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767" w:type="dxa"/>
            <w:noWrap w:val="0"/>
            <w:vAlign w:val="top"/>
          </w:tcPr>
          <w:p>
            <w:pPr>
              <w:spacing w:line="240" w:lineRule="auto"/>
              <w:ind w:firstLine="0" w:firstLineChars="0"/>
              <w:jc w:val="center"/>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val="en-US" w:eastAsia="zh-CN"/>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43" w:hRule="atLeast"/>
          <w:jc w:val="center"/>
        </w:trPr>
        <w:tc>
          <w:tcPr>
            <w:tcW w:w="1154" w:type="dxa"/>
            <w:vMerge w:val="restart"/>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生产废水处理系统风险防控措施</w:t>
            </w:r>
          </w:p>
        </w:tc>
        <w:tc>
          <w:tcPr>
            <w:tcW w:w="5449" w:type="dxa"/>
            <w:noWrap w:val="0"/>
            <w:vAlign w:val="center"/>
          </w:tcPr>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1无生产废水产生或外排；或</w:t>
            </w:r>
          </w:p>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2有废水外排时：</w:t>
            </w:r>
          </w:p>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fldChar w:fldCharType="begin"/>
            </w:r>
            <w:r>
              <w:rPr>
                <w:rFonts w:hint="default" w:ascii="Times New Roman" w:hAnsi="Times New Roman" w:eastAsia="宋体" w:cs="Times New Roman"/>
                <w:kern w:val="0"/>
                <w:sz w:val="21"/>
                <w:szCs w:val="21"/>
              </w:rPr>
              <w:instrText xml:space="preserve"> = 1 \* GB3 </w:instrText>
            </w:r>
            <w:r>
              <w:rPr>
                <w:rFonts w:hint="default" w:ascii="Times New Roman" w:hAnsi="Times New Roman" w:eastAsia="宋体" w:cs="Times New Roman"/>
                <w:kern w:val="0"/>
                <w:sz w:val="21"/>
                <w:szCs w:val="21"/>
              </w:rPr>
              <w:fldChar w:fldCharType="separate"/>
            </w:r>
            <w:r>
              <w:rPr>
                <w:rFonts w:hint="default" w:ascii="Times New Roman" w:hAnsi="Times New Roman" w:eastAsia="宋体" w:cs="Times New Roman"/>
                <w:kern w:val="0"/>
                <w:sz w:val="21"/>
                <w:szCs w:val="21"/>
              </w:rPr>
              <w:t>①</w:t>
            </w:r>
            <w:r>
              <w:rPr>
                <w:rFonts w:hint="default" w:ascii="Times New Roman" w:hAnsi="Times New Roman" w:eastAsia="宋体" w:cs="Times New Roman"/>
                <w:kern w:val="0"/>
                <w:sz w:val="21"/>
                <w:szCs w:val="21"/>
              </w:rPr>
              <w:fldChar w:fldCharType="end"/>
            </w:r>
            <w:r>
              <w:rPr>
                <w:rFonts w:hint="default" w:ascii="Times New Roman" w:hAnsi="Times New Roman" w:eastAsia="宋体" w:cs="Times New Roman"/>
                <w:kern w:val="0"/>
                <w:sz w:val="21"/>
                <w:szCs w:val="21"/>
              </w:rPr>
              <w:t>受污染的循环冷却水、雨水、消防水等排入生产废水系统或独立处理系统；</w:t>
            </w:r>
          </w:p>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fldChar w:fldCharType="begin"/>
            </w:r>
            <w:r>
              <w:rPr>
                <w:rFonts w:hint="default" w:ascii="Times New Roman" w:hAnsi="Times New Roman" w:eastAsia="宋体" w:cs="Times New Roman"/>
                <w:kern w:val="0"/>
                <w:sz w:val="21"/>
                <w:szCs w:val="21"/>
              </w:rPr>
              <w:instrText xml:space="preserve"> = 2 \* GB3 </w:instrText>
            </w:r>
            <w:r>
              <w:rPr>
                <w:rFonts w:hint="default" w:ascii="Times New Roman" w:hAnsi="Times New Roman" w:eastAsia="宋体" w:cs="Times New Roman"/>
                <w:kern w:val="0"/>
                <w:sz w:val="21"/>
                <w:szCs w:val="21"/>
              </w:rPr>
              <w:fldChar w:fldCharType="separate"/>
            </w:r>
            <w:r>
              <w:rPr>
                <w:rFonts w:hint="default" w:ascii="Times New Roman" w:hAnsi="Times New Roman" w:eastAsia="宋体" w:cs="Times New Roman"/>
                <w:kern w:val="0"/>
                <w:sz w:val="21"/>
                <w:szCs w:val="21"/>
              </w:rPr>
              <w:t>②</w:t>
            </w:r>
            <w:r>
              <w:rPr>
                <w:rFonts w:hint="default" w:ascii="Times New Roman" w:hAnsi="Times New Roman" w:eastAsia="宋体" w:cs="Times New Roman"/>
                <w:kern w:val="0"/>
                <w:sz w:val="21"/>
                <w:szCs w:val="21"/>
              </w:rPr>
              <w:fldChar w:fldCharType="end"/>
            </w:r>
            <w:r>
              <w:rPr>
                <w:rFonts w:hint="default" w:ascii="Times New Roman" w:hAnsi="Times New Roman" w:eastAsia="宋体" w:cs="Times New Roman"/>
                <w:kern w:val="0"/>
                <w:sz w:val="21"/>
                <w:szCs w:val="21"/>
              </w:rPr>
              <w:t>生产废水排放前设监控池，能够将不合格废水送废水处理设施处理；</w:t>
            </w:r>
          </w:p>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fldChar w:fldCharType="begin"/>
            </w:r>
            <w:r>
              <w:rPr>
                <w:rFonts w:hint="default" w:ascii="Times New Roman" w:hAnsi="Times New Roman" w:eastAsia="宋体" w:cs="Times New Roman"/>
                <w:kern w:val="0"/>
                <w:sz w:val="21"/>
                <w:szCs w:val="21"/>
              </w:rPr>
              <w:instrText xml:space="preserve"> = 3 \* GB3 </w:instrText>
            </w:r>
            <w:r>
              <w:rPr>
                <w:rFonts w:hint="default" w:ascii="Times New Roman" w:hAnsi="Times New Roman" w:eastAsia="宋体" w:cs="Times New Roman"/>
                <w:kern w:val="0"/>
                <w:sz w:val="21"/>
                <w:szCs w:val="21"/>
              </w:rPr>
              <w:fldChar w:fldCharType="separate"/>
            </w:r>
            <w:r>
              <w:rPr>
                <w:rFonts w:hint="default" w:ascii="Times New Roman" w:hAnsi="Times New Roman" w:eastAsia="宋体" w:cs="Times New Roman"/>
                <w:kern w:val="0"/>
                <w:sz w:val="21"/>
                <w:szCs w:val="21"/>
              </w:rPr>
              <w:t>③</w:t>
            </w:r>
            <w:r>
              <w:rPr>
                <w:rFonts w:hint="default" w:ascii="Times New Roman" w:hAnsi="Times New Roman" w:eastAsia="宋体" w:cs="Times New Roman"/>
                <w:kern w:val="0"/>
                <w:sz w:val="21"/>
                <w:szCs w:val="21"/>
              </w:rPr>
              <w:fldChar w:fldCharType="end"/>
            </w:r>
            <w:r>
              <w:rPr>
                <w:rFonts w:hint="default" w:ascii="Times New Roman" w:hAnsi="Times New Roman" w:eastAsia="宋体" w:cs="Times New Roman"/>
                <w:kern w:val="0"/>
                <w:sz w:val="21"/>
                <w:szCs w:val="21"/>
              </w:rPr>
              <w:t>如企业受污染的清净废水或雨水进入废水处理系统处理，则废水处理系统应设置事故水缓冲设施；</w:t>
            </w:r>
          </w:p>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fldChar w:fldCharType="begin"/>
            </w:r>
            <w:r>
              <w:rPr>
                <w:rFonts w:hint="default" w:ascii="Times New Roman" w:hAnsi="Times New Roman" w:eastAsia="宋体" w:cs="Times New Roman"/>
                <w:kern w:val="0"/>
                <w:sz w:val="21"/>
                <w:szCs w:val="21"/>
              </w:rPr>
              <w:instrText xml:space="preserve"> = 4 \* GB3 </w:instrText>
            </w:r>
            <w:r>
              <w:rPr>
                <w:rFonts w:hint="default" w:ascii="Times New Roman" w:hAnsi="Times New Roman" w:eastAsia="宋体" w:cs="Times New Roman"/>
                <w:kern w:val="0"/>
                <w:sz w:val="21"/>
                <w:szCs w:val="21"/>
              </w:rPr>
              <w:fldChar w:fldCharType="separate"/>
            </w:r>
            <w:r>
              <w:rPr>
                <w:rFonts w:hint="default" w:ascii="Times New Roman" w:hAnsi="Times New Roman" w:eastAsia="宋体" w:cs="Times New Roman"/>
                <w:kern w:val="0"/>
                <w:sz w:val="21"/>
                <w:szCs w:val="21"/>
              </w:rPr>
              <w:t>④</w:t>
            </w:r>
            <w:r>
              <w:rPr>
                <w:rFonts w:hint="default" w:ascii="Times New Roman" w:hAnsi="Times New Roman" w:eastAsia="宋体" w:cs="Times New Roman"/>
                <w:kern w:val="0"/>
                <w:sz w:val="21"/>
                <w:szCs w:val="21"/>
              </w:rPr>
              <w:fldChar w:fldCharType="end"/>
            </w:r>
            <w:r>
              <w:rPr>
                <w:rFonts w:hint="default" w:ascii="Times New Roman" w:hAnsi="Times New Roman" w:eastAsia="宋体" w:cs="Times New Roman"/>
                <w:kern w:val="0"/>
                <w:sz w:val="21"/>
                <w:szCs w:val="21"/>
              </w:rPr>
              <w:t>具有生产废水总排口监视及关闭设施，有专人负责启闭，确保泄漏物、受污染的消防水、不合格废水不排出厂外</w:t>
            </w:r>
          </w:p>
        </w:tc>
        <w:tc>
          <w:tcPr>
            <w:tcW w:w="679"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c>
          <w:tcPr>
            <w:tcW w:w="1629" w:type="dxa"/>
            <w:vMerge w:val="restart"/>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eastAsia" w:cs="Times New Roman"/>
                <w:color w:val="000000"/>
                <w:sz w:val="21"/>
                <w:szCs w:val="21"/>
                <w:lang w:val="en-US" w:eastAsia="zh-CN"/>
              </w:rPr>
              <w:t>项目生活污水经过处理后外排长江</w:t>
            </w:r>
          </w:p>
        </w:tc>
        <w:tc>
          <w:tcPr>
            <w:tcW w:w="767"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8" w:hRule="atLeast"/>
          <w:jc w:val="center"/>
        </w:trPr>
        <w:tc>
          <w:tcPr>
            <w:tcW w:w="1154" w:type="dxa"/>
            <w:vMerge w:val="continue"/>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p>
        </w:tc>
        <w:tc>
          <w:tcPr>
            <w:tcW w:w="5449" w:type="dxa"/>
            <w:noWrap w:val="0"/>
            <w:vAlign w:val="center"/>
          </w:tcPr>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涉及废水外排，且不符合上述2中任意一条要求的</w:t>
            </w:r>
          </w:p>
        </w:tc>
        <w:tc>
          <w:tcPr>
            <w:tcW w:w="679"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w:t>
            </w:r>
          </w:p>
        </w:tc>
        <w:tc>
          <w:tcPr>
            <w:tcW w:w="1629" w:type="dxa"/>
            <w:vMerge w:val="continue"/>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p>
        </w:tc>
        <w:tc>
          <w:tcPr>
            <w:tcW w:w="767" w:type="dxa"/>
            <w:noWrap w:val="0"/>
            <w:vAlign w:val="top"/>
          </w:tcPr>
          <w:p>
            <w:pPr>
              <w:spacing w:line="240" w:lineRule="auto"/>
              <w:ind w:firstLine="0" w:firstLineChars="0"/>
              <w:jc w:val="center"/>
              <w:rPr>
                <w:rFonts w:hint="eastAsia" w:ascii="Times New Roman" w:hAnsi="Times New Roman" w:eastAsia="宋体" w:cs="Times New Roman"/>
                <w:kern w:val="0"/>
                <w:sz w:val="21"/>
                <w:szCs w:val="21"/>
                <w:lang w:eastAsia="zh-CN"/>
              </w:rPr>
            </w:pPr>
            <w:r>
              <w:rPr>
                <w:rFonts w:hint="eastAsia" w:cs="Times New Roman"/>
                <w:kern w:val="0"/>
                <w:sz w:val="21"/>
                <w:szCs w:val="21"/>
                <w:lang w:val="en-US" w:eastAsia="zh-CN"/>
              </w:rPr>
              <w:t>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8" w:hRule="atLeast"/>
          <w:jc w:val="center"/>
        </w:trPr>
        <w:tc>
          <w:tcPr>
            <w:tcW w:w="1154" w:type="dxa"/>
            <w:vMerge w:val="restart"/>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废水排放去向</w:t>
            </w:r>
          </w:p>
        </w:tc>
        <w:tc>
          <w:tcPr>
            <w:tcW w:w="5449" w:type="dxa"/>
            <w:noWrap w:val="0"/>
            <w:vAlign w:val="center"/>
          </w:tcPr>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无生产废水产生或外排</w:t>
            </w:r>
          </w:p>
        </w:tc>
        <w:tc>
          <w:tcPr>
            <w:tcW w:w="679"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c>
          <w:tcPr>
            <w:tcW w:w="1629" w:type="dxa"/>
            <w:noWrap w:val="0"/>
            <w:vAlign w:val="top"/>
          </w:tcPr>
          <w:p>
            <w:pPr>
              <w:spacing w:line="240" w:lineRule="auto"/>
              <w:ind w:firstLine="0" w:firstLineChars="0"/>
              <w:jc w:val="center"/>
              <w:rPr>
                <w:rFonts w:hint="default" w:ascii="Times New Roman" w:hAnsi="Times New Roman" w:eastAsia="宋体" w:cs="Times New Roman"/>
                <w:kern w:val="0"/>
                <w:sz w:val="21"/>
                <w:szCs w:val="21"/>
              </w:rPr>
            </w:pPr>
            <w:r>
              <w:rPr>
                <w:rFonts w:hint="eastAsia" w:cs="Times New Roman"/>
                <w:color w:val="000000"/>
                <w:sz w:val="21"/>
                <w:szCs w:val="21"/>
                <w:lang w:val="en-US" w:eastAsia="zh-CN"/>
              </w:rPr>
              <w:t>/</w:t>
            </w:r>
          </w:p>
        </w:tc>
        <w:tc>
          <w:tcPr>
            <w:tcW w:w="767" w:type="dxa"/>
            <w:noWrap w:val="0"/>
            <w:vAlign w:val="center"/>
          </w:tcPr>
          <w:p>
            <w:pPr>
              <w:spacing w:line="240" w:lineRule="auto"/>
              <w:ind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82" w:hRule="atLeast"/>
          <w:jc w:val="center"/>
        </w:trPr>
        <w:tc>
          <w:tcPr>
            <w:tcW w:w="1154" w:type="dxa"/>
            <w:vMerge w:val="continue"/>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p>
        </w:tc>
        <w:tc>
          <w:tcPr>
            <w:tcW w:w="5449" w:type="dxa"/>
            <w:noWrap w:val="0"/>
            <w:vAlign w:val="center"/>
          </w:tcPr>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1依法获取污水排入排水管网许可，进入城镇污水处理厂；或</w:t>
            </w:r>
          </w:p>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2进入工业废水集中处理厂；或</w:t>
            </w:r>
          </w:p>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3进入其他单位</w:t>
            </w:r>
          </w:p>
        </w:tc>
        <w:tc>
          <w:tcPr>
            <w:tcW w:w="679"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w:t>
            </w:r>
          </w:p>
        </w:tc>
        <w:tc>
          <w:tcPr>
            <w:tcW w:w="1629"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w:t>
            </w:r>
          </w:p>
        </w:tc>
        <w:tc>
          <w:tcPr>
            <w:tcW w:w="767" w:type="dxa"/>
            <w:noWrap w:val="0"/>
            <w:vAlign w:val="center"/>
          </w:tcPr>
          <w:p>
            <w:pPr>
              <w:ind w:firstLine="27" w:firstLineChars="13"/>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kern w:val="0"/>
                <w:sz w:val="21"/>
                <w:szCs w:val="21"/>
                <w:lang w:val="en-US" w:eastAsia="zh-CN"/>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76" w:hRule="atLeast"/>
          <w:jc w:val="center"/>
        </w:trPr>
        <w:tc>
          <w:tcPr>
            <w:tcW w:w="1154" w:type="dxa"/>
            <w:vMerge w:val="continue"/>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p>
        </w:tc>
        <w:tc>
          <w:tcPr>
            <w:tcW w:w="5449" w:type="dxa"/>
            <w:noWrap w:val="0"/>
            <w:vAlign w:val="center"/>
          </w:tcPr>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1直接进入海域或进入江、河、湖、库等水环境；或</w:t>
            </w:r>
          </w:p>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2进入城市下水道再入江、河、湖、库或再进入海域；或</w:t>
            </w:r>
          </w:p>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3未依法取得污水排入排水管网许可，进入城镇污水处理厂；或</w:t>
            </w:r>
          </w:p>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4直接进入污灌农田或蒸发池</w:t>
            </w:r>
          </w:p>
        </w:tc>
        <w:tc>
          <w:tcPr>
            <w:tcW w:w="679"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12</w:t>
            </w:r>
          </w:p>
        </w:tc>
        <w:tc>
          <w:tcPr>
            <w:tcW w:w="1629" w:type="dxa"/>
            <w:noWrap w:val="0"/>
            <w:vAlign w:val="center"/>
          </w:tcPr>
          <w:p>
            <w:pPr>
              <w:ind w:firstLine="0" w:firstLineChars="0"/>
              <w:jc w:val="center"/>
              <w:rPr>
                <w:rFonts w:hint="eastAsia" w:ascii="Times New Roman" w:hAnsi="Times New Roman" w:eastAsia="宋体" w:cs="Times New Roman"/>
                <w:sz w:val="21"/>
                <w:szCs w:val="21"/>
                <w:lang w:eastAsia="zh-CN"/>
              </w:rPr>
            </w:pPr>
            <w:r>
              <w:rPr>
                <w:rFonts w:hint="eastAsia" w:cs="Times New Roman"/>
                <w:color w:val="000000"/>
                <w:sz w:val="21"/>
                <w:szCs w:val="21"/>
                <w:lang w:val="en-US" w:eastAsia="zh-CN"/>
              </w:rPr>
              <w:t>项目生活污水经过处理后外排长江</w:t>
            </w:r>
          </w:p>
        </w:tc>
        <w:tc>
          <w:tcPr>
            <w:tcW w:w="767" w:type="dxa"/>
            <w:noWrap w:val="0"/>
            <w:vAlign w:val="center"/>
          </w:tcPr>
          <w:p>
            <w:pPr>
              <w:ind w:firstLine="27" w:firstLineChars="13"/>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8" w:hRule="atLeast"/>
          <w:jc w:val="center"/>
        </w:trPr>
        <w:tc>
          <w:tcPr>
            <w:tcW w:w="1154" w:type="dxa"/>
            <w:vMerge w:val="restart"/>
            <w:noWrap w:val="0"/>
            <w:vAlign w:val="center"/>
          </w:tcPr>
          <w:p>
            <w:pPr>
              <w:ind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厂内危险废物环境管理</w:t>
            </w:r>
          </w:p>
        </w:tc>
        <w:tc>
          <w:tcPr>
            <w:tcW w:w="5449" w:type="dxa"/>
            <w:noWrap w:val="0"/>
            <w:vAlign w:val="center"/>
          </w:tcPr>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1不涉及危险废物的；或</w:t>
            </w:r>
          </w:p>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2针对危险废物分区贮存、运输、利用、处置具有完善的专业设施和风险防控措施</w:t>
            </w:r>
          </w:p>
        </w:tc>
        <w:tc>
          <w:tcPr>
            <w:tcW w:w="679"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c>
          <w:tcPr>
            <w:tcW w:w="1629"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具有完善的专业设施和风险防控措施</w:t>
            </w:r>
          </w:p>
        </w:tc>
        <w:tc>
          <w:tcPr>
            <w:tcW w:w="767"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154" w:type="dxa"/>
            <w:vMerge w:val="continue"/>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p>
        </w:tc>
        <w:tc>
          <w:tcPr>
            <w:tcW w:w="5449" w:type="dxa"/>
            <w:noWrap w:val="0"/>
            <w:vAlign w:val="center"/>
          </w:tcPr>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不具备完善的危险废物贮存、运输、利用、处置设施和风险防控措施</w:t>
            </w:r>
          </w:p>
        </w:tc>
        <w:tc>
          <w:tcPr>
            <w:tcW w:w="679"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w:t>
            </w:r>
          </w:p>
        </w:tc>
        <w:tc>
          <w:tcPr>
            <w:tcW w:w="1629"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767"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8" w:hRule="atLeast"/>
          <w:jc w:val="center"/>
        </w:trPr>
        <w:tc>
          <w:tcPr>
            <w:tcW w:w="1154" w:type="dxa"/>
            <w:vMerge w:val="restart"/>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近3年内突发水环境事件发生情况</w:t>
            </w:r>
          </w:p>
        </w:tc>
        <w:tc>
          <w:tcPr>
            <w:tcW w:w="5449" w:type="dxa"/>
            <w:noWrap w:val="0"/>
            <w:vAlign w:val="center"/>
          </w:tcPr>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发生过特别重大及重大等级突发水环境事件的</w:t>
            </w:r>
          </w:p>
        </w:tc>
        <w:tc>
          <w:tcPr>
            <w:tcW w:w="679"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w:t>
            </w:r>
          </w:p>
        </w:tc>
        <w:tc>
          <w:tcPr>
            <w:tcW w:w="1629"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767"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8" w:hRule="atLeast"/>
          <w:jc w:val="center"/>
        </w:trPr>
        <w:tc>
          <w:tcPr>
            <w:tcW w:w="1154" w:type="dxa"/>
            <w:vMerge w:val="continue"/>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p>
        </w:tc>
        <w:tc>
          <w:tcPr>
            <w:tcW w:w="5449" w:type="dxa"/>
            <w:noWrap w:val="0"/>
            <w:vAlign w:val="center"/>
          </w:tcPr>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发生过较大等级突发水环境事件的</w:t>
            </w:r>
          </w:p>
        </w:tc>
        <w:tc>
          <w:tcPr>
            <w:tcW w:w="679"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w:t>
            </w:r>
          </w:p>
        </w:tc>
        <w:tc>
          <w:tcPr>
            <w:tcW w:w="1629"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767"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8" w:hRule="atLeast"/>
          <w:jc w:val="center"/>
        </w:trPr>
        <w:tc>
          <w:tcPr>
            <w:tcW w:w="1154" w:type="dxa"/>
            <w:vMerge w:val="continue"/>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p>
        </w:tc>
        <w:tc>
          <w:tcPr>
            <w:tcW w:w="5449" w:type="dxa"/>
            <w:noWrap w:val="0"/>
            <w:vAlign w:val="center"/>
          </w:tcPr>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发生过一般等级突发水环境事件的</w:t>
            </w:r>
          </w:p>
        </w:tc>
        <w:tc>
          <w:tcPr>
            <w:tcW w:w="679"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w:t>
            </w:r>
          </w:p>
        </w:tc>
        <w:tc>
          <w:tcPr>
            <w:tcW w:w="1629"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767"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8" w:hRule="atLeast"/>
          <w:jc w:val="center"/>
        </w:trPr>
        <w:tc>
          <w:tcPr>
            <w:tcW w:w="1154" w:type="dxa"/>
            <w:vMerge w:val="continue"/>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p>
        </w:tc>
        <w:tc>
          <w:tcPr>
            <w:tcW w:w="5449" w:type="dxa"/>
            <w:noWrap w:val="0"/>
            <w:vAlign w:val="center"/>
          </w:tcPr>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未发生突发水环境事件的</w:t>
            </w:r>
          </w:p>
        </w:tc>
        <w:tc>
          <w:tcPr>
            <w:tcW w:w="679"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c>
          <w:tcPr>
            <w:tcW w:w="1629"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767"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0" w:hRule="atLeast"/>
          <w:jc w:val="center"/>
        </w:trPr>
        <w:tc>
          <w:tcPr>
            <w:tcW w:w="9678" w:type="dxa"/>
            <w:gridSpan w:val="5"/>
            <w:tcBorders>
              <w:bottom w:val="single" w:color="000000" w:sz="12" w:space="0"/>
            </w:tcBorders>
            <w:noWrap w:val="0"/>
            <w:vAlign w:val="center"/>
          </w:tcPr>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注：本表中相关规范具体指GB50483、GB50160、GB50351、GB50747、SH3015</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综上可知，本公司水环境风险防控措施及突发水环境事件发生情况各项评估指标分值为</w:t>
      </w:r>
      <w:r>
        <w:rPr>
          <w:rFonts w:hint="eastAsia" w:cs="Times New Roman"/>
          <w:kern w:val="0"/>
          <w:sz w:val="24"/>
          <w:lang w:val="en-US" w:eastAsia="zh-CN"/>
        </w:rPr>
        <w:t>2</w:t>
      </w:r>
      <w:r>
        <w:rPr>
          <w:rFonts w:hint="eastAsia" w:ascii="Times New Roman" w:hAnsi="Times New Roman" w:eastAsia="宋体" w:cs="Times New Roman"/>
          <w:kern w:val="0"/>
          <w:sz w:val="24"/>
          <w:lang w:val="en-US" w:eastAsia="zh-CN"/>
        </w:rPr>
        <w:t>0</w:t>
      </w:r>
      <w:r>
        <w:rPr>
          <w:rFonts w:hint="default" w:ascii="Times New Roman" w:hAnsi="Times New Roman" w:eastAsia="宋体" w:cs="Times New Roman"/>
          <w:kern w:val="0"/>
          <w:sz w:val="24"/>
        </w:rPr>
        <w:t>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default" w:ascii="Times New Roman" w:hAnsi="Times New Roman" w:eastAsia="宋体" w:cs="Times New Roman"/>
          <w:kern w:val="0"/>
          <w:sz w:val="24"/>
        </w:rPr>
      </w:pPr>
      <w:bookmarkStart w:id="139" w:name="_Toc26984"/>
      <w:r>
        <w:rPr>
          <w:rFonts w:hint="eastAsia" w:ascii="Times New Roman" w:hAnsi="Times New Roman" w:eastAsia="宋体" w:cs="Times New Roman"/>
          <w:kern w:val="0"/>
          <w:sz w:val="24"/>
          <w:lang w:val="en-US" w:eastAsia="zh-CN"/>
        </w:rPr>
        <w:t>3、</w:t>
      </w:r>
      <w:r>
        <w:rPr>
          <w:rFonts w:hint="default" w:ascii="Times New Roman" w:hAnsi="Times New Roman" w:eastAsia="宋体" w:cs="Times New Roman"/>
          <w:kern w:val="0"/>
          <w:sz w:val="24"/>
        </w:rPr>
        <w:t>企业生产工艺过程与水环境风险控制水平（M）</w:t>
      </w:r>
      <w:bookmarkEnd w:id="13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将企业生产工艺过程、水环境风险防控措施及突发水环境事件发生情况各项指标评估分值累加，得出生产工艺过程与水环境风险控制水平值，按照表3划分4个类型。同表7.1-4。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本公司生产工艺过程与水环境风险控制水平评估指标总分值为</w:t>
      </w:r>
      <w:r>
        <w:rPr>
          <w:rFonts w:hint="eastAsia" w:cs="Times New Roman"/>
          <w:kern w:val="0"/>
          <w:sz w:val="24"/>
          <w:lang w:val="en-US" w:eastAsia="zh-CN"/>
        </w:rPr>
        <w:t>2</w:t>
      </w:r>
      <w:r>
        <w:rPr>
          <w:rFonts w:hint="eastAsia" w:ascii="Times New Roman" w:hAnsi="Times New Roman" w:eastAsia="宋体" w:cs="Times New Roman"/>
          <w:kern w:val="0"/>
          <w:sz w:val="24"/>
          <w:lang w:val="en-US" w:eastAsia="zh-CN"/>
        </w:rPr>
        <w:t>0</w:t>
      </w:r>
      <w:r>
        <w:rPr>
          <w:rFonts w:hint="default" w:ascii="Times New Roman" w:hAnsi="Times New Roman" w:eastAsia="宋体" w:cs="Times New Roman"/>
          <w:kern w:val="0"/>
          <w:sz w:val="24"/>
        </w:rPr>
        <w:t>分，属于M</w:t>
      </w:r>
      <w:r>
        <w:rPr>
          <w:rFonts w:hint="eastAsia" w:ascii="Times New Roman" w:hAnsi="Times New Roman" w:eastAsia="宋体" w:cs="Times New Roman"/>
          <w:kern w:val="0"/>
          <w:sz w:val="24"/>
          <w:lang w:val="en-US" w:eastAsia="zh-CN"/>
        </w:rPr>
        <w:t>1</w:t>
      </w:r>
      <w:r>
        <w:rPr>
          <w:rFonts w:hint="default" w:ascii="Times New Roman" w:hAnsi="Times New Roman" w:eastAsia="宋体" w:cs="Times New Roman"/>
          <w:kern w:val="0"/>
          <w:sz w:val="24"/>
        </w:rPr>
        <w:t>类水平。</w:t>
      </w:r>
    </w:p>
    <w:p>
      <w:pPr>
        <w:pStyle w:val="33"/>
        <w:spacing w:before="190" w:after="190"/>
        <w:outlineLvl w:val="1"/>
        <w:rPr>
          <w:rFonts w:hint="default" w:ascii="Times New Roman" w:hAnsi="Times New Roman" w:eastAsia="宋体" w:cs="Times New Roman"/>
        </w:rPr>
      </w:pPr>
      <w:bookmarkStart w:id="140" w:name="_Toc430095184"/>
      <w:bookmarkStart w:id="141" w:name="_Toc8429"/>
      <w:bookmarkStart w:id="142" w:name="_Toc29210"/>
      <w:bookmarkStart w:id="143" w:name="_Toc522097209"/>
      <w:bookmarkStart w:id="144" w:name="_Toc3745"/>
      <w:bookmarkStart w:id="145" w:name="_Toc423011660"/>
      <w:bookmarkStart w:id="146" w:name="_Toc14090"/>
      <w:bookmarkStart w:id="147" w:name="_Toc521574037"/>
      <w:r>
        <w:rPr>
          <w:rFonts w:hint="default" w:ascii="Times New Roman" w:hAnsi="Times New Roman" w:eastAsia="宋体" w:cs="Times New Roman"/>
        </w:rPr>
        <w:t>7.2.3确定水环境风险受体类型（E）</w:t>
      </w:r>
      <w:bookmarkEnd w:id="140"/>
      <w:bookmarkEnd w:id="141"/>
      <w:bookmarkEnd w:id="142"/>
      <w:bookmarkEnd w:id="143"/>
      <w:bookmarkEnd w:id="144"/>
      <w:bookmarkEnd w:id="145"/>
      <w:bookmarkEnd w:id="146"/>
      <w:bookmarkEnd w:id="14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按照水环境风险受体敏感程度，同时考虑河流跨界的情况和可能造成土壤污染的情况，将水环境风险受体敏感程度划分为类型1、类型2、和类型3三种类型，分别以E1、E2和E3表示，见表7.2-3。</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水环境风险受体敏感程度按类型1、类型2和类型3顺序依次降低。若企业周边存在多种敏感程度类型的水环境风险受体，则按敏感程度高者确定企业水环境风险受体敏感程度类型。</w:t>
      </w:r>
    </w:p>
    <w:p>
      <w:pPr>
        <w:pStyle w:val="27"/>
        <w:spacing w:before="190"/>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表7. 2-3 水环境风险受体敏感程度类型划分</w:t>
      </w:r>
    </w:p>
    <w:tbl>
      <w:tblPr>
        <w:tblStyle w:val="15"/>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737"/>
        <w:gridCol w:w="751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737" w:type="dxa"/>
            <w:tcBorders>
              <w:top w:val="single" w:color="000000" w:sz="12" w:space="0"/>
            </w:tcBorders>
            <w:noWrap w:val="0"/>
            <w:vAlign w:val="center"/>
          </w:tcPr>
          <w:p>
            <w:pPr>
              <w:spacing w:line="240" w:lineRule="auto"/>
              <w:ind w:firstLine="0" w:firstLineChars="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敏感程度类型</w:t>
            </w:r>
          </w:p>
        </w:tc>
        <w:tc>
          <w:tcPr>
            <w:tcW w:w="7513" w:type="dxa"/>
            <w:tcBorders>
              <w:top w:val="single" w:color="000000" w:sz="12" w:space="0"/>
            </w:tcBorders>
            <w:noWrap w:val="0"/>
            <w:vAlign w:val="center"/>
          </w:tcPr>
          <w:p>
            <w:pPr>
              <w:spacing w:line="240" w:lineRule="auto"/>
              <w:ind w:firstLine="0" w:firstLineChars="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水环境风险受体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737"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类型1</w:t>
            </w:r>
          </w:p>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（E1）</w:t>
            </w:r>
          </w:p>
        </w:tc>
        <w:tc>
          <w:tcPr>
            <w:tcW w:w="7513" w:type="dxa"/>
            <w:noWrap w:val="0"/>
            <w:vAlign w:val="center"/>
          </w:tcPr>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企业雨水排口、清净废水排口、污水排放口下游10公里流经范围内有如下一类或多类环境风险受体：集中式地表水、地下水饮用水水源保护区（包括一级保护区、二级保护区及准保护区）；农村及分散式饮用水水源保护区；</w:t>
            </w:r>
          </w:p>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2废水排入收纳水体后24小时流经范围（按收纳河流最大日均流速计算）内涉及跨国界的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737"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类型2</w:t>
            </w:r>
          </w:p>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（E2）</w:t>
            </w:r>
          </w:p>
        </w:tc>
        <w:tc>
          <w:tcPr>
            <w:tcW w:w="7513" w:type="dxa"/>
            <w:noWrap w:val="0"/>
            <w:vAlign w:val="center"/>
          </w:tcPr>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企业雨水排口、清净废水排口、污水排放口下游10公里流经范围内有生态保护红线划定的或具有水生态服务功能的其他水生态环境敏感区和脆弱区，如国家公园，国家级和省级水产种质资源保护区，水产养殖区，天然渔场，海水浴场，盐场保护区，国家重要湿地，国家级和地方级海洋特别保护区，国家级和地方级海洋自然保护区，生物多样性保护优先区域，国家级和地方级自然保护区，国家级和省级风景名胜区，世界文化和自然遗产地，国家级和省级森林公园，世界、国家和省级地质公园，基本农田保护区，基本草原；</w:t>
            </w:r>
          </w:p>
          <w:p>
            <w:pPr>
              <w:spacing w:line="240" w:lineRule="auto"/>
              <w:ind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2企业雨水排口、清净废水排口、污水排放口下游10公里流经范围内涉及跨省界的；</w:t>
            </w:r>
          </w:p>
          <w:p>
            <w:pPr>
              <w:spacing w:line="240" w:lineRule="auto"/>
              <w:ind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3企业位于熔岩地貌、泄洪区、泥石流多发等地区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1737" w:type="dxa"/>
            <w:noWrap w:val="0"/>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类型3</w:t>
            </w:r>
          </w:p>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（E3）</w:t>
            </w:r>
          </w:p>
        </w:tc>
        <w:tc>
          <w:tcPr>
            <w:tcW w:w="7513" w:type="dxa"/>
            <w:noWrap w:val="0"/>
            <w:vAlign w:val="center"/>
          </w:tcPr>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不涉及类型1和类型2情况的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9250" w:type="dxa"/>
            <w:gridSpan w:val="2"/>
            <w:tcBorders>
              <w:bottom w:val="single" w:color="000000" w:sz="12" w:space="0"/>
            </w:tcBorders>
            <w:noWrap w:val="0"/>
            <w:vAlign w:val="center"/>
          </w:tcPr>
          <w:p>
            <w:pPr>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注：本表中规定的距离范围以到各类水环境保护目标或保护区域的边界为准</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sz w:val="24"/>
        </w:rPr>
      </w:pPr>
      <w:bookmarkStart w:id="148" w:name="_Toc521351991"/>
      <w:r>
        <w:rPr>
          <w:rFonts w:hint="eastAsia" w:ascii="Times New Roman" w:hAnsi="Times New Roman" w:eastAsia="宋体" w:cs="Times New Roman"/>
          <w:kern w:val="0"/>
          <w:sz w:val="24"/>
        </w:rPr>
        <w:t>本公司初期雨水、油罐罐底切水废水和油罐清洗废水经收集后依托中国石化九江分公司污水处理厂处理，生活污水经过MBR污水处理工艺处理后达《城镇污水处理厂污染物排放标准》（GB18918-2002）表1中一级B标准，最终排入长江。水环境风险受体敏感程度类型为</w:t>
      </w:r>
      <w:bookmarkEnd w:id="148"/>
      <w:r>
        <w:rPr>
          <w:rFonts w:hint="default" w:ascii="Times New Roman" w:hAnsi="Times New Roman" w:eastAsia="宋体" w:cs="Times New Roman"/>
          <w:kern w:val="0"/>
          <w:sz w:val="24"/>
        </w:rPr>
        <w:t>E3。</w:t>
      </w:r>
    </w:p>
    <w:p>
      <w:pPr>
        <w:pStyle w:val="33"/>
        <w:spacing w:before="190" w:after="190"/>
        <w:outlineLvl w:val="1"/>
        <w:rPr>
          <w:rFonts w:hint="default" w:ascii="Times New Roman" w:hAnsi="Times New Roman" w:eastAsia="宋体" w:cs="Times New Roman"/>
        </w:rPr>
      </w:pPr>
      <w:bookmarkStart w:id="149" w:name="_Toc423011661"/>
      <w:bookmarkStart w:id="150" w:name="_Toc430095185"/>
      <w:bookmarkStart w:id="151" w:name="_Toc390868894"/>
      <w:bookmarkStart w:id="152" w:name="_Toc9281"/>
      <w:bookmarkStart w:id="153" w:name="_Toc15490"/>
      <w:bookmarkStart w:id="154" w:name="_Toc18743"/>
      <w:bookmarkStart w:id="155" w:name="_Toc521574038"/>
      <w:bookmarkStart w:id="156" w:name="_Toc3336"/>
      <w:bookmarkStart w:id="157" w:name="_Toc522097210"/>
      <w:r>
        <w:rPr>
          <w:rFonts w:hint="default" w:ascii="Times New Roman" w:hAnsi="Times New Roman" w:eastAsia="宋体" w:cs="Times New Roman"/>
        </w:rPr>
        <w:t>7.2.4</w:t>
      </w:r>
      <w:bookmarkEnd w:id="149"/>
      <w:bookmarkEnd w:id="150"/>
      <w:bookmarkEnd w:id="151"/>
      <w:bookmarkEnd w:id="152"/>
      <w:bookmarkEnd w:id="153"/>
      <w:r>
        <w:rPr>
          <w:rFonts w:hint="default" w:ascii="Times New Roman" w:hAnsi="Times New Roman" w:eastAsia="宋体" w:cs="Times New Roman"/>
        </w:rPr>
        <w:t>突发水环境事件风险等级确定</w:t>
      </w:r>
      <w:bookmarkEnd w:id="154"/>
      <w:bookmarkEnd w:id="155"/>
      <w:bookmarkEnd w:id="156"/>
      <w:bookmarkEnd w:id="15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根据企业周边水环境风险受体敏感程度（E）、涉水风险物质数量与临界量比值（Q）和生产工艺过程与水环境风险控制水平（M），按照表7.1-6确定企业突发水环境事件风险等级。</w:t>
      </w:r>
    </w:p>
    <w:p>
      <w:pPr>
        <w:pStyle w:val="33"/>
        <w:spacing w:before="190" w:after="190"/>
        <w:outlineLvl w:val="1"/>
        <w:rPr>
          <w:rFonts w:hint="default" w:ascii="Times New Roman" w:hAnsi="Times New Roman" w:eastAsia="宋体" w:cs="Times New Roman"/>
        </w:rPr>
      </w:pPr>
      <w:bookmarkStart w:id="158" w:name="_Toc27828"/>
      <w:r>
        <w:rPr>
          <w:rFonts w:hint="default" w:ascii="Times New Roman" w:hAnsi="Times New Roman" w:eastAsia="宋体" w:cs="Times New Roman"/>
        </w:rPr>
        <w:t>7.2.</w:t>
      </w:r>
      <w:r>
        <w:rPr>
          <w:rFonts w:hint="eastAsia" w:ascii="Times New Roman" w:hAnsi="Times New Roman" w:eastAsia="宋体" w:cs="Times New Roman"/>
          <w:lang w:val="en-US" w:eastAsia="zh-CN"/>
        </w:rPr>
        <w:t>5</w:t>
      </w:r>
      <w:r>
        <w:rPr>
          <w:rFonts w:hint="default" w:ascii="Times New Roman" w:hAnsi="Times New Roman" w:eastAsia="宋体" w:cs="Times New Roman"/>
        </w:rPr>
        <w:t>突发水环境事件风险等级表征</w:t>
      </w:r>
      <w:bookmarkEnd w:id="134"/>
      <w:bookmarkEnd w:id="135"/>
      <w:bookmarkEnd w:id="136"/>
      <w:bookmarkEnd w:id="15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企业突发水环境事件风险等级表征分为两种情况；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sz w:val="24"/>
        </w:rPr>
      </w:pPr>
      <w:r>
        <w:rPr>
          <w:rFonts w:hint="eastAsia" w:ascii="Times New Roman" w:hAnsi="Times New Roman" w:eastAsia="宋体" w:cs="Times New Roman"/>
          <w:kern w:val="0"/>
          <w:sz w:val="24"/>
          <w:lang w:val="en-US" w:eastAsia="zh-CN"/>
        </w:rPr>
        <w:t>1、</w:t>
      </w:r>
      <w:r>
        <w:rPr>
          <w:rFonts w:hint="default" w:ascii="Times New Roman" w:hAnsi="Times New Roman" w:eastAsia="宋体" w:cs="Times New Roman"/>
          <w:kern w:val="0"/>
          <w:sz w:val="24"/>
        </w:rPr>
        <w:t>Q＜1时，企业突发水环境事件风险等级表示为‘一般-水（Q0）’。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sz w:val="24"/>
        </w:rPr>
      </w:pPr>
      <w:r>
        <w:rPr>
          <w:rFonts w:hint="eastAsia" w:ascii="Times New Roman" w:hAnsi="Times New Roman" w:eastAsia="宋体" w:cs="Times New Roman"/>
          <w:kern w:val="0"/>
          <w:sz w:val="24"/>
          <w:lang w:val="en-US" w:eastAsia="zh-CN"/>
        </w:rPr>
        <w:t>2、</w:t>
      </w:r>
      <w:r>
        <w:rPr>
          <w:rFonts w:hint="default" w:ascii="Times New Roman" w:hAnsi="Times New Roman" w:eastAsia="宋体" w:cs="Times New Roman"/>
          <w:kern w:val="0"/>
          <w:sz w:val="24"/>
        </w:rPr>
        <w:t>Q≥1时，企业突发水环境事件风险等级表示为‘环境风险等级-水（Q水平-M类型-E类型）’。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因此，企业突发</w:t>
      </w:r>
      <w:r>
        <w:rPr>
          <w:rFonts w:hint="default" w:ascii="Times New Roman" w:hAnsi="Times New Roman" w:eastAsia="宋体" w:cs="Times New Roman"/>
          <w:kern w:val="0"/>
          <w:sz w:val="24"/>
          <w:lang w:eastAsia="zh-CN"/>
        </w:rPr>
        <w:t>水</w:t>
      </w:r>
      <w:r>
        <w:rPr>
          <w:rFonts w:hint="default" w:ascii="Times New Roman" w:hAnsi="Times New Roman" w:eastAsia="宋体" w:cs="Times New Roman"/>
          <w:kern w:val="0"/>
          <w:sz w:val="24"/>
        </w:rPr>
        <w:t>环境事件风险等级表示为</w:t>
      </w:r>
      <w:r>
        <w:rPr>
          <w:rFonts w:hint="default" w:ascii="Times New Roman" w:hAnsi="Times New Roman" w:eastAsia="宋体" w:cs="Times New Roman"/>
          <w:kern w:val="0"/>
          <w:sz w:val="24"/>
          <w:lang w:eastAsia="zh-CN"/>
        </w:rPr>
        <w:t>“</w:t>
      </w:r>
      <w:r>
        <w:rPr>
          <w:rFonts w:hint="eastAsia" w:ascii="Times New Roman" w:hAnsi="Times New Roman" w:eastAsia="宋体" w:cs="Times New Roman"/>
          <w:kern w:val="0"/>
          <w:sz w:val="24"/>
          <w:lang w:eastAsia="zh-CN"/>
        </w:rPr>
        <w:t>较大</w:t>
      </w:r>
      <w:r>
        <w:rPr>
          <w:rFonts w:hint="default" w:ascii="Times New Roman" w:hAnsi="Times New Roman" w:eastAsia="宋体" w:cs="Times New Roman"/>
          <w:kern w:val="0"/>
          <w:sz w:val="24"/>
          <w:lang w:eastAsia="zh-CN"/>
        </w:rPr>
        <w:t>—水（</w:t>
      </w:r>
      <w:r>
        <w:rPr>
          <w:rFonts w:hint="default" w:ascii="Times New Roman" w:hAnsi="Times New Roman" w:eastAsia="宋体" w:cs="Times New Roman"/>
          <w:kern w:val="0"/>
          <w:sz w:val="24"/>
          <w:lang w:val="en-US" w:eastAsia="zh-CN"/>
        </w:rPr>
        <w:t>Q</w:t>
      </w:r>
      <w:r>
        <w:rPr>
          <w:rFonts w:hint="eastAsia" w:cs="Times New Roman"/>
          <w:kern w:val="0"/>
          <w:sz w:val="24"/>
          <w:lang w:val="en-US" w:eastAsia="zh-CN"/>
        </w:rPr>
        <w:t>2</w:t>
      </w:r>
      <w:r>
        <w:rPr>
          <w:rFonts w:hint="eastAsia" w:ascii="Times New Roman" w:hAnsi="Times New Roman" w:eastAsia="宋体" w:cs="Times New Roman"/>
          <w:kern w:val="0"/>
          <w:sz w:val="24"/>
          <w:lang w:val="en-US" w:eastAsia="zh-CN"/>
        </w:rPr>
        <w:t>-M1-E3</w:t>
      </w:r>
      <w:r>
        <w:rPr>
          <w:rFonts w:hint="default" w:ascii="Times New Roman" w:hAnsi="Times New Roman" w:eastAsia="宋体" w:cs="Times New Roman"/>
          <w:kern w:val="0"/>
          <w:sz w:val="24"/>
          <w:lang w:eastAsia="zh-CN"/>
        </w:rPr>
        <w:t>）”。</w:t>
      </w:r>
    </w:p>
    <w:p>
      <w:pPr>
        <w:pStyle w:val="33"/>
        <w:spacing w:before="190" w:after="190"/>
        <w:outlineLvl w:val="0"/>
        <w:rPr>
          <w:rFonts w:hint="default" w:ascii="Times New Roman" w:hAnsi="Times New Roman" w:eastAsia="宋体" w:cs="Times New Roman"/>
        </w:rPr>
      </w:pPr>
      <w:bookmarkStart w:id="159" w:name="_Toc15409"/>
      <w:bookmarkStart w:id="160" w:name="_Toc21106"/>
      <w:r>
        <w:rPr>
          <w:rFonts w:hint="default" w:ascii="Times New Roman" w:hAnsi="Times New Roman" w:eastAsia="宋体" w:cs="Times New Roman"/>
        </w:rPr>
        <w:t>7.3企业突发环境事件风险等级确定与调整</w:t>
      </w:r>
      <w:bookmarkEnd w:id="159"/>
      <w:bookmarkEnd w:id="160"/>
    </w:p>
    <w:p>
      <w:pPr>
        <w:pStyle w:val="33"/>
        <w:spacing w:before="190" w:after="190"/>
        <w:outlineLvl w:val="1"/>
        <w:rPr>
          <w:rFonts w:hint="default" w:ascii="Times New Roman" w:hAnsi="Times New Roman" w:eastAsia="宋体" w:cs="Times New Roman"/>
        </w:rPr>
      </w:pPr>
      <w:bookmarkStart w:id="161" w:name="_Toc521574041"/>
      <w:bookmarkStart w:id="162" w:name="_Toc522097213"/>
      <w:bookmarkStart w:id="163" w:name="_Toc13359"/>
      <w:bookmarkStart w:id="164" w:name="_Toc4227"/>
      <w:r>
        <w:rPr>
          <w:rFonts w:hint="default" w:ascii="Times New Roman" w:hAnsi="Times New Roman" w:eastAsia="宋体" w:cs="Times New Roman"/>
        </w:rPr>
        <w:t>7.3.1风险等级确定</w:t>
      </w:r>
      <w:bookmarkEnd w:id="161"/>
      <w:bookmarkEnd w:id="162"/>
      <w:bookmarkEnd w:id="163"/>
      <w:bookmarkEnd w:id="16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以企业突发大气环境事件风险和突发水环境事件风险等级高者确定企业突发环境事件风险等级。</w:t>
      </w:r>
    </w:p>
    <w:p>
      <w:pPr>
        <w:pStyle w:val="33"/>
        <w:spacing w:before="190" w:after="190"/>
        <w:outlineLvl w:val="1"/>
        <w:rPr>
          <w:rFonts w:hint="default" w:ascii="Times New Roman" w:hAnsi="Times New Roman" w:eastAsia="宋体" w:cs="Times New Roman"/>
        </w:rPr>
      </w:pPr>
      <w:bookmarkStart w:id="165" w:name="_Toc522097214"/>
      <w:bookmarkStart w:id="166" w:name="_Toc521574042"/>
      <w:bookmarkStart w:id="167" w:name="_Toc17118"/>
      <w:bookmarkStart w:id="168" w:name="_Toc10402"/>
      <w:r>
        <w:rPr>
          <w:rFonts w:hint="default" w:ascii="Times New Roman" w:hAnsi="Times New Roman" w:eastAsia="宋体" w:cs="Times New Roman"/>
        </w:rPr>
        <w:t>7.3.2风险等级调整</w:t>
      </w:r>
      <w:bookmarkEnd w:id="165"/>
      <w:bookmarkEnd w:id="166"/>
      <w:bookmarkEnd w:id="167"/>
      <w:bookmarkEnd w:id="16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近三年内本公司未因违法排放污染物</w:t>
      </w:r>
      <w:r>
        <w:rPr>
          <w:rFonts w:hint="eastAsia" w:ascii="Times New Roman" w:hAnsi="Times New Roman" w:eastAsia="宋体" w:cs="Times New Roman"/>
          <w:kern w:val="0"/>
          <w:sz w:val="24"/>
          <w:lang w:eastAsia="zh-CN"/>
        </w:rPr>
        <w:t>或其他违法</w:t>
      </w:r>
      <w:r>
        <w:rPr>
          <w:rFonts w:hint="default" w:ascii="Times New Roman" w:hAnsi="Times New Roman" w:eastAsia="宋体" w:cs="Times New Roman"/>
          <w:kern w:val="0"/>
          <w:sz w:val="24"/>
        </w:rPr>
        <w:t>等行为受到环境保护主管部门处罚，因此不需要上调等级。</w:t>
      </w:r>
    </w:p>
    <w:p>
      <w:pPr>
        <w:pStyle w:val="33"/>
        <w:spacing w:before="190" w:after="190"/>
        <w:outlineLvl w:val="1"/>
        <w:rPr>
          <w:rFonts w:hint="default" w:ascii="Times New Roman" w:hAnsi="Times New Roman" w:eastAsia="宋体" w:cs="Times New Roman"/>
        </w:rPr>
      </w:pPr>
      <w:bookmarkStart w:id="169" w:name="_Toc522097215"/>
      <w:bookmarkStart w:id="170" w:name="_Toc521574043"/>
      <w:bookmarkStart w:id="171" w:name="_Toc29254"/>
      <w:bookmarkStart w:id="172" w:name="_Toc18626"/>
      <w:r>
        <w:rPr>
          <w:rFonts w:hint="default" w:ascii="Times New Roman" w:hAnsi="Times New Roman" w:eastAsia="宋体" w:cs="Times New Roman"/>
        </w:rPr>
        <w:t>7.3.3风险等级表征</w:t>
      </w:r>
      <w:bookmarkEnd w:id="169"/>
      <w:bookmarkEnd w:id="170"/>
      <w:bookmarkEnd w:id="171"/>
      <w:bookmarkEnd w:id="17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本公司同时涉及突发大气和水环境事件风险，风险等级表示为“企业突发环境事件风险等级</w:t>
      </w:r>
      <w:r>
        <w:rPr>
          <w:rFonts w:hint="eastAsia" w:ascii="Times New Roman" w:hAnsi="Times New Roman" w:eastAsia="宋体" w:cs="Times New Roman"/>
          <w:kern w:val="0"/>
          <w:sz w:val="24"/>
          <w:lang w:eastAsia="zh-CN"/>
        </w:rPr>
        <w:t>较大</w:t>
      </w:r>
      <w:r>
        <w:rPr>
          <w:rFonts w:hint="default" w:ascii="Times New Roman" w:hAnsi="Times New Roman" w:eastAsia="宋体" w:cs="Times New Roman"/>
          <w:kern w:val="0"/>
          <w:sz w:val="24"/>
        </w:rPr>
        <w:t>［</w:t>
      </w:r>
      <w:r>
        <w:rPr>
          <w:rFonts w:hint="eastAsia" w:ascii="Times New Roman" w:hAnsi="Times New Roman" w:eastAsia="宋体" w:cs="Times New Roman"/>
          <w:kern w:val="0"/>
          <w:sz w:val="24"/>
          <w:lang w:eastAsia="zh-CN"/>
        </w:rPr>
        <w:t>较大</w:t>
      </w:r>
      <w:r>
        <w:rPr>
          <w:rFonts w:hint="default" w:ascii="Times New Roman" w:hAnsi="Times New Roman" w:eastAsia="宋体" w:cs="Times New Roman"/>
          <w:kern w:val="0"/>
          <w:sz w:val="24"/>
          <w:lang w:val="en-US" w:eastAsia="zh-CN"/>
        </w:rPr>
        <w:t>-</w:t>
      </w:r>
      <w:r>
        <w:rPr>
          <w:rFonts w:hint="default" w:ascii="Times New Roman" w:hAnsi="Times New Roman" w:eastAsia="宋体" w:cs="Times New Roman"/>
          <w:kern w:val="0"/>
          <w:sz w:val="24"/>
          <w:lang w:eastAsia="zh-CN"/>
        </w:rPr>
        <w:t>大气</w:t>
      </w:r>
      <w:r>
        <w:rPr>
          <w:rFonts w:hint="default" w:ascii="Times New Roman" w:hAnsi="Times New Roman" w:eastAsia="宋体" w:cs="Times New Roman"/>
          <w:kern w:val="0"/>
          <w:sz w:val="24"/>
        </w:rPr>
        <w:t>Q</w:t>
      </w:r>
      <w:r>
        <w:rPr>
          <w:rFonts w:hint="eastAsia" w:ascii="Times New Roman" w:hAnsi="Times New Roman" w:eastAsia="宋体" w:cs="Times New Roman"/>
          <w:kern w:val="0"/>
          <w:sz w:val="24"/>
          <w:lang w:val="en-US" w:eastAsia="zh-CN"/>
        </w:rPr>
        <w:t>2M1E1</w:t>
      </w:r>
      <w:r>
        <w:rPr>
          <w:rFonts w:hint="default" w:ascii="Times New Roman" w:hAnsi="Times New Roman" w:eastAsia="宋体" w:cs="Times New Roman"/>
          <w:kern w:val="0"/>
          <w:sz w:val="24"/>
        </w:rPr>
        <w:t>+</w:t>
      </w:r>
      <w:r>
        <w:rPr>
          <w:rFonts w:hint="eastAsia" w:ascii="Times New Roman" w:hAnsi="Times New Roman" w:eastAsia="宋体" w:cs="Times New Roman"/>
          <w:kern w:val="0"/>
          <w:sz w:val="24"/>
          <w:lang w:eastAsia="zh-CN"/>
        </w:rPr>
        <w:t>较大</w:t>
      </w:r>
      <w:r>
        <w:rPr>
          <w:rFonts w:hint="default" w:ascii="Times New Roman" w:hAnsi="Times New Roman" w:eastAsia="宋体" w:cs="Times New Roman"/>
          <w:kern w:val="0"/>
          <w:sz w:val="24"/>
          <w:lang w:val="en-US" w:eastAsia="zh-CN"/>
        </w:rPr>
        <w:t>-水</w:t>
      </w:r>
      <w:r>
        <w:rPr>
          <w:rFonts w:hint="default" w:ascii="Times New Roman" w:hAnsi="Times New Roman" w:eastAsia="宋体" w:cs="Times New Roman"/>
          <w:kern w:val="0"/>
          <w:sz w:val="24"/>
        </w:rPr>
        <w:t>Q</w:t>
      </w:r>
      <w:r>
        <w:rPr>
          <w:rFonts w:hint="eastAsia" w:cs="Times New Roman"/>
          <w:kern w:val="0"/>
          <w:sz w:val="24"/>
          <w:lang w:val="en-US" w:eastAsia="zh-CN"/>
        </w:rPr>
        <w:t>2</w:t>
      </w:r>
      <w:r>
        <w:rPr>
          <w:rFonts w:hint="eastAsia" w:ascii="Times New Roman" w:hAnsi="Times New Roman" w:eastAsia="宋体" w:cs="Times New Roman"/>
          <w:kern w:val="0"/>
          <w:sz w:val="24"/>
          <w:lang w:val="en-US" w:eastAsia="zh-CN"/>
        </w:rPr>
        <w:t>M</w:t>
      </w:r>
      <w:r>
        <w:rPr>
          <w:rFonts w:hint="eastAsia" w:cs="Times New Roman"/>
          <w:kern w:val="0"/>
          <w:sz w:val="24"/>
          <w:lang w:val="en-US" w:eastAsia="zh-CN"/>
        </w:rPr>
        <w:t>1</w:t>
      </w:r>
      <w:r>
        <w:rPr>
          <w:rFonts w:hint="eastAsia" w:ascii="Times New Roman" w:hAnsi="Times New Roman" w:eastAsia="宋体" w:cs="Times New Roman"/>
          <w:kern w:val="0"/>
          <w:sz w:val="24"/>
          <w:lang w:val="en-US" w:eastAsia="zh-CN"/>
        </w:rPr>
        <w:t>E3</w:t>
      </w:r>
      <w:r>
        <w:rPr>
          <w:rFonts w:hint="default" w:ascii="Times New Roman" w:hAnsi="Times New Roman" w:eastAsia="宋体" w:cs="Times New Roman"/>
          <w:kern w:val="0"/>
          <w:sz w:val="24"/>
        </w:rPr>
        <w:t>］” 。</w:t>
      </w:r>
    </w:p>
    <w:bookmarkEnd w:id="99"/>
    <w:bookmarkEnd w:id="100"/>
    <w:bookmarkEnd w:id="101"/>
    <w:bookmarkEnd w:id="102"/>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bookmarkStart w:id="173" w:name="_GoBack"/>
      <w:bookmarkEnd w:id="173"/>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eastAsia="zh-CN"/>
        </w:rPr>
      </w:pP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highlight w:val="none"/>
          <w:lang w:eastAsia="zh-CN"/>
        </w:rPr>
      </w:pPr>
    </w:p>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华文中宋">
    <w:altName w:val="宋体"/>
    <w:panose1 w:val="02010600040101010101"/>
    <w:charset w:val="86"/>
    <w:family w:val="auto"/>
    <w:pitch w:val="default"/>
    <w:sig w:usb0="00000000" w:usb1="00000000" w:usb2="00000010" w:usb3="00000000" w:csb0="000400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Times New Roman" w:hAnsi="Times New Roman"/>
      </w:rP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42</w:t>
    </w:r>
    <w:r>
      <w:rPr>
        <w:rFonts w:ascii="Times New Roman" w:hAnsi="Times New Roman"/>
      </w:rPr>
      <w:fldChar w:fldCharType="end"/>
    </w:r>
  </w:p>
  <w:p>
    <w:pPr>
      <w:pStyle w:val="1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B69081"/>
    <w:multiLevelType w:val="singleLevel"/>
    <w:tmpl w:val="58B69081"/>
    <w:lvl w:ilvl="0" w:tentative="0">
      <w:start w:val="1"/>
      <w:numFmt w:val="decimal"/>
      <w:suff w:val="nothing"/>
      <w:lvlText w:val="（%1）"/>
      <w:lvlJc w:val="left"/>
    </w:lvl>
  </w:abstractNum>
  <w:abstractNum w:abstractNumId="1">
    <w:nsid w:val="58B690AB"/>
    <w:multiLevelType w:val="singleLevel"/>
    <w:tmpl w:val="58B690AB"/>
    <w:lvl w:ilvl="0" w:tentative="0">
      <w:start w:val="1"/>
      <w:numFmt w:val="decimal"/>
      <w:suff w:val="nothing"/>
      <w:lvlText w:val="（%1）"/>
      <w:lvlJc w:val="left"/>
    </w:lvl>
  </w:abstractNum>
  <w:abstractNum w:abstractNumId="2">
    <w:nsid w:val="75327EDF"/>
    <w:multiLevelType w:val="singleLevel"/>
    <w:tmpl w:val="75327EDF"/>
    <w:lvl w:ilvl="0" w:tentative="0">
      <w:start w:val="20"/>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316CFA"/>
    <w:rsid w:val="0A542C19"/>
    <w:rsid w:val="0D9D0A9A"/>
    <w:rsid w:val="122D56EB"/>
    <w:rsid w:val="15A37547"/>
    <w:rsid w:val="1B4464CD"/>
    <w:rsid w:val="23F6397C"/>
    <w:rsid w:val="28717DBB"/>
    <w:rsid w:val="2BFB3913"/>
    <w:rsid w:val="319F0FDC"/>
    <w:rsid w:val="494C668D"/>
    <w:rsid w:val="4C326C82"/>
    <w:rsid w:val="50316CFA"/>
    <w:rsid w:val="50EE292B"/>
    <w:rsid w:val="53C00BFA"/>
    <w:rsid w:val="5AF474F0"/>
    <w:rsid w:val="7F230106"/>
    <w:rsid w:val="7F9F0C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9"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6">
    <w:name w:val="heading 1"/>
    <w:basedOn w:val="1"/>
    <w:next w:val="1"/>
    <w:qFormat/>
    <w:uiPriority w:val="9"/>
    <w:pPr>
      <w:keepNext/>
      <w:keepLines/>
      <w:spacing w:before="340" w:after="330" w:line="578" w:lineRule="auto"/>
      <w:outlineLvl w:val="0"/>
    </w:pPr>
    <w:rPr>
      <w:b/>
      <w:bCs/>
      <w:kern w:val="44"/>
      <w:sz w:val="44"/>
      <w:szCs w:val="44"/>
    </w:rPr>
  </w:style>
  <w:style w:type="paragraph" w:styleId="7">
    <w:name w:val="heading 2"/>
    <w:basedOn w:val="1"/>
    <w:next w:val="1"/>
    <w:semiHidden/>
    <w:unhideWhenUsed/>
    <w:qFormat/>
    <w:uiPriority w:val="9"/>
    <w:pPr>
      <w:keepNext/>
      <w:keepLines/>
      <w:spacing w:before="260" w:after="260" w:line="416" w:lineRule="auto"/>
      <w:outlineLvl w:val="1"/>
    </w:pPr>
    <w:rPr>
      <w:rFonts w:ascii="Cambria" w:hAnsi="Cambria"/>
      <w:b/>
      <w:bCs/>
      <w:sz w:val="32"/>
      <w:szCs w:val="32"/>
    </w:rPr>
  </w:style>
  <w:style w:type="paragraph" w:styleId="8">
    <w:name w:val="heading 3"/>
    <w:basedOn w:val="1"/>
    <w:next w:val="1"/>
    <w:semiHidden/>
    <w:unhideWhenUsed/>
    <w:qFormat/>
    <w:uiPriority w:val="9"/>
    <w:pPr>
      <w:keepNext/>
      <w:keepLines/>
      <w:spacing w:before="260" w:after="260" w:line="416" w:lineRule="auto"/>
      <w:outlineLvl w:val="2"/>
    </w:pPr>
    <w:rPr>
      <w:b/>
      <w:bCs/>
      <w:sz w:val="32"/>
      <w:szCs w:val="32"/>
    </w:rPr>
  </w:style>
  <w:style w:type="paragraph" w:styleId="9">
    <w:name w:val="heading 4"/>
    <w:basedOn w:val="1"/>
    <w:next w:val="1"/>
    <w:semiHidden/>
    <w:unhideWhenUsed/>
    <w:qFormat/>
    <w:uiPriority w:val="9"/>
    <w:pPr>
      <w:keepNext/>
      <w:keepLines/>
      <w:spacing w:before="280" w:after="290" w:line="376" w:lineRule="auto"/>
      <w:outlineLvl w:val="3"/>
    </w:pPr>
    <w:rPr>
      <w:rFonts w:ascii="等线 Light" w:hAnsi="等线 Light" w:eastAsia="等线 Light"/>
      <w:b/>
      <w:bCs/>
      <w:sz w:val="28"/>
      <w:szCs w:val="28"/>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customStyle="1" w:styleId="2">
    <w:name w:val="Default1"/>
    <w:basedOn w:val="1"/>
    <w:next w:val="3"/>
    <w:qFormat/>
    <w:uiPriority w:val="0"/>
    <w:pPr>
      <w:keepNext w:val="0"/>
      <w:keepLines w:val="0"/>
      <w:widowControl w:val="0"/>
      <w:suppressLineNumbers w:val="0"/>
      <w:autoSpaceDE w:val="0"/>
      <w:autoSpaceDN w:val="0"/>
      <w:adjustRightInd w:val="0"/>
      <w:spacing w:before="0" w:beforeAutospacing="0" w:after="0" w:afterAutospacing="0"/>
      <w:ind w:left="0" w:right="0"/>
      <w:jc w:val="left"/>
    </w:pPr>
    <w:rPr>
      <w:rFonts w:hint="eastAsia" w:ascii="宋体" w:hAnsi="Calibri" w:eastAsia="宋体" w:cs="宋体"/>
      <w:color w:val="000000"/>
      <w:kern w:val="0"/>
      <w:sz w:val="24"/>
      <w:szCs w:val="24"/>
      <w:lang w:val="en-US" w:eastAsia="zh-CN" w:bidi="ar"/>
    </w:rPr>
  </w:style>
  <w:style w:type="paragraph" w:customStyle="1" w:styleId="3">
    <w:name w:val="标题4"/>
    <w:next w:val="4"/>
    <w:qFormat/>
    <w:uiPriority w:val="0"/>
    <w:pPr>
      <w:spacing w:line="360" w:lineRule="auto"/>
      <w:jc w:val="both"/>
      <w:outlineLvl w:val="3"/>
    </w:pPr>
    <w:rPr>
      <w:rFonts w:ascii="Times New Roman" w:hAnsi="Times New Roman" w:eastAsia="宋体" w:cs="Times New Roman"/>
      <w:b/>
      <w:kern w:val="2"/>
      <w:sz w:val="28"/>
      <w:szCs w:val="24"/>
      <w:lang w:val="en-US" w:eastAsia="zh-CN" w:bidi="ar-SA"/>
    </w:rPr>
  </w:style>
  <w:style w:type="paragraph" w:customStyle="1" w:styleId="4">
    <w:name w:val="表格内正文"/>
    <w:basedOn w:val="1"/>
    <w:next w:val="5"/>
    <w:qFormat/>
    <w:uiPriority w:val="0"/>
    <w:pPr>
      <w:spacing w:line="360" w:lineRule="auto"/>
      <w:ind w:firstLine="493"/>
    </w:pPr>
    <w:rPr>
      <w:rFonts w:ascii="宋体" w:hAnsi="宋体" w:eastAsia="宋体"/>
      <w:spacing w:val="4"/>
      <w:kern w:val="18"/>
      <w:sz w:val="24"/>
    </w:rPr>
  </w:style>
  <w:style w:type="paragraph" w:customStyle="1" w:styleId="5">
    <w:name w:val="A 正文"/>
    <w:basedOn w:val="1"/>
    <w:next w:val="1"/>
    <w:qFormat/>
    <w:uiPriority w:val="0"/>
    <w:pPr>
      <w:widowControl w:val="0"/>
      <w:autoSpaceDE/>
      <w:autoSpaceDN/>
      <w:spacing w:before="0" w:after="0" w:line="360" w:lineRule="auto"/>
      <w:ind w:left="0" w:firstLine="200"/>
      <w:jc w:val="both"/>
    </w:pPr>
    <w:rPr>
      <w:rFonts w:ascii="Calibri" w:eastAsia="Calibri"/>
      <w:sz w:val="24"/>
    </w:rPr>
  </w:style>
  <w:style w:type="paragraph" w:styleId="10">
    <w:name w:val="List 3"/>
    <w:basedOn w:val="1"/>
    <w:qFormat/>
    <w:uiPriority w:val="0"/>
    <w:pPr>
      <w:spacing w:line="240" w:lineRule="auto"/>
      <w:ind w:left="0" w:firstLine="0" w:firstLineChars="0"/>
    </w:pPr>
    <w:rPr>
      <w:rFonts w:ascii="Calibri" w:hAnsi="Calibri"/>
      <w:smallCaps/>
      <w:sz w:val="21"/>
      <w:szCs w:val="20"/>
    </w:rPr>
  </w:style>
  <w:style w:type="paragraph" w:styleId="11">
    <w:name w:val="annotation text"/>
    <w:basedOn w:val="1"/>
    <w:qFormat/>
    <w:uiPriority w:val="0"/>
    <w:pPr>
      <w:jc w:val="left"/>
    </w:pPr>
  </w:style>
  <w:style w:type="paragraph" w:styleId="12">
    <w:name w:val="Body Text"/>
    <w:basedOn w:val="1"/>
    <w:qFormat/>
    <w:uiPriority w:val="0"/>
    <w:pPr>
      <w:spacing w:after="120"/>
    </w:pPr>
    <w:rPr>
      <w:rFonts w:ascii="Calibri" w:hAnsi="Calibri" w:cs="Arial"/>
      <w:sz w:val="21"/>
      <w:szCs w:val="22"/>
    </w:rPr>
  </w:style>
  <w:style w:type="paragraph" w:styleId="13">
    <w:name w:val="Block Text"/>
    <w:basedOn w:val="1"/>
    <w:semiHidden/>
    <w:unhideWhenUsed/>
    <w:qFormat/>
    <w:uiPriority w:val="99"/>
    <w:pPr>
      <w:spacing w:after="120"/>
      <w:ind w:left="1440" w:leftChars="700" w:right="700" w:rightChars="700"/>
    </w:pPr>
  </w:style>
  <w:style w:type="paragraph" w:styleId="14">
    <w:name w:val="footer"/>
    <w:basedOn w:val="1"/>
    <w:next w:val="1"/>
    <w:unhideWhenUsed/>
    <w:qFormat/>
    <w:uiPriority w:val="0"/>
    <w:pPr>
      <w:tabs>
        <w:tab w:val="center" w:pos="4153"/>
        <w:tab w:val="right" w:pos="8306"/>
      </w:tabs>
      <w:snapToGrid w:val="0"/>
      <w:jc w:val="left"/>
    </w:pPr>
    <w:rPr>
      <w:sz w:val="18"/>
      <w:szCs w:val="18"/>
    </w:rPr>
  </w:style>
  <w:style w:type="table" w:styleId="16">
    <w:name w:val="Table Grid"/>
    <w:basedOn w:val="1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qFormat/>
    <w:uiPriority w:val="0"/>
    <w:rPr>
      <w:color w:val="0000FF"/>
      <w:u w:val="single"/>
    </w:rPr>
  </w:style>
  <w:style w:type="paragraph" w:customStyle="1" w:styleId="19">
    <w:name w:val="B正文"/>
    <w:basedOn w:val="1"/>
    <w:qFormat/>
    <w:uiPriority w:val="0"/>
    <w:pPr>
      <w:spacing w:line="300" w:lineRule="auto"/>
      <w:ind w:firstLine="480" w:firstLineChars="200"/>
    </w:pPr>
    <w:rPr>
      <w:rFonts w:ascii="Times New Roman" w:hAnsi="Times New Roman"/>
      <w:kern w:val="0"/>
      <w:sz w:val="24"/>
      <w:szCs w:val="24"/>
    </w:rPr>
  </w:style>
  <w:style w:type="paragraph" w:customStyle="1" w:styleId="20">
    <w:name w:val="B标题1"/>
    <w:basedOn w:val="6"/>
    <w:qFormat/>
    <w:uiPriority w:val="0"/>
    <w:pPr>
      <w:keepNext w:val="0"/>
      <w:keepLines w:val="0"/>
      <w:spacing w:before="120" w:after="120" w:line="240" w:lineRule="auto"/>
    </w:pPr>
    <w:rPr>
      <w:rFonts w:ascii="Times New Roman" w:hAnsi="Times New Roman" w:eastAsia="华文中宋"/>
      <w:kern w:val="0"/>
      <w:lang w:val="en-US" w:eastAsia="zh-CN"/>
    </w:rPr>
  </w:style>
  <w:style w:type="paragraph" w:customStyle="1" w:styleId="21">
    <w:name w:val="B标题2"/>
    <w:basedOn w:val="7"/>
    <w:qFormat/>
    <w:uiPriority w:val="0"/>
    <w:pPr>
      <w:keepNext w:val="0"/>
      <w:keepLines w:val="0"/>
      <w:spacing w:before="120" w:after="120" w:line="240" w:lineRule="auto"/>
    </w:pPr>
    <w:rPr>
      <w:rFonts w:ascii="Times New Roman" w:hAnsi="Times New Roman" w:eastAsia="华文中宋"/>
      <w:kern w:val="0"/>
      <w:lang w:val="en-US" w:eastAsia="zh-CN"/>
    </w:rPr>
  </w:style>
  <w:style w:type="paragraph" w:customStyle="1" w:styleId="22">
    <w:name w:val="B标题3"/>
    <w:basedOn w:val="8"/>
    <w:qFormat/>
    <w:uiPriority w:val="0"/>
    <w:pPr>
      <w:keepNext w:val="0"/>
      <w:keepLines w:val="0"/>
      <w:spacing w:beforeLines="50" w:afterLines="50" w:line="240" w:lineRule="auto"/>
    </w:pPr>
    <w:rPr>
      <w:rFonts w:ascii="Times New Roman" w:hAnsi="Times New Roman" w:eastAsia="华文中宋"/>
      <w:kern w:val="0"/>
      <w:sz w:val="28"/>
    </w:rPr>
  </w:style>
  <w:style w:type="paragraph" w:customStyle="1" w:styleId="23">
    <w:name w:val="标题3"/>
    <w:next w:val="1"/>
    <w:qFormat/>
    <w:uiPriority w:val="0"/>
    <w:pPr>
      <w:spacing w:beforeLines="50" w:line="360" w:lineRule="auto"/>
      <w:jc w:val="both"/>
      <w:outlineLvl w:val="2"/>
    </w:pPr>
    <w:rPr>
      <w:rFonts w:ascii="Times New Roman" w:hAnsi="Times New Roman" w:eastAsia="宋体" w:cs="Times New Roman"/>
      <w:b/>
      <w:kern w:val="2"/>
      <w:sz w:val="28"/>
      <w:szCs w:val="24"/>
      <w:lang w:val="en-US" w:eastAsia="zh-CN" w:bidi="ar-SA"/>
    </w:rPr>
  </w:style>
  <w:style w:type="paragraph" w:customStyle="1" w:styleId="24">
    <w:name w:val="列出段落1"/>
    <w:basedOn w:val="1"/>
    <w:qFormat/>
    <w:uiPriority w:val="0"/>
    <w:pPr>
      <w:ind w:firstLine="0" w:firstLineChars="0"/>
    </w:pPr>
    <w:rPr>
      <w:rFonts w:cs="Arial"/>
      <w:smallCaps/>
    </w:rPr>
  </w:style>
  <w:style w:type="paragraph" w:customStyle="1" w:styleId="25">
    <w:name w:val="B表头"/>
    <w:basedOn w:val="1"/>
    <w:qFormat/>
    <w:uiPriority w:val="0"/>
    <w:pPr>
      <w:spacing w:beforeLines="50"/>
      <w:jc w:val="center"/>
    </w:pPr>
    <w:rPr>
      <w:rFonts w:ascii="Times New Roman" w:hAnsi="Times New Roman" w:eastAsia="黑体"/>
      <w:kern w:val="0"/>
      <w:szCs w:val="24"/>
    </w:rPr>
  </w:style>
  <w:style w:type="paragraph" w:customStyle="1" w:styleId="26">
    <w:name w:val="B表内"/>
    <w:basedOn w:val="1"/>
    <w:qFormat/>
    <w:uiPriority w:val="0"/>
    <w:pPr>
      <w:spacing w:line="0" w:lineRule="atLeast"/>
      <w:jc w:val="center"/>
    </w:pPr>
    <w:rPr>
      <w:rFonts w:ascii="Times New Roman" w:hAnsi="Times New Roman" w:cs="宋体"/>
      <w:sz w:val="18"/>
      <w:szCs w:val="20"/>
    </w:rPr>
  </w:style>
  <w:style w:type="paragraph" w:customStyle="1" w:styleId="27">
    <w:name w:val="表头"/>
    <w:basedOn w:val="12"/>
    <w:next w:val="1"/>
    <w:qFormat/>
    <w:uiPriority w:val="0"/>
    <w:pPr>
      <w:spacing w:before="50" w:beforeLines="50"/>
      <w:jc w:val="center"/>
    </w:pPr>
    <w:rPr>
      <w:rFonts w:ascii="Times New Roman" w:hAnsi="Times New Roman" w:eastAsia="宋体" w:cs="Arial"/>
      <w:b/>
      <w:kern w:val="2"/>
      <w:sz w:val="24"/>
      <w:szCs w:val="24"/>
      <w:lang w:val="en-US" w:eastAsia="zh-CN" w:bidi="ar-SA"/>
    </w:rPr>
  </w:style>
  <w:style w:type="paragraph" w:customStyle="1" w:styleId="28">
    <w:name w:val="表中字"/>
    <w:qFormat/>
    <w:uiPriority w:val="0"/>
    <w:pPr>
      <w:jc w:val="center"/>
    </w:pPr>
    <w:rPr>
      <w:rFonts w:ascii="Times New Roman" w:hAnsi="Times New Roman" w:eastAsia="宋体" w:cs="Times New Roman"/>
      <w:kern w:val="2"/>
      <w:sz w:val="21"/>
      <w:szCs w:val="24"/>
      <w:lang w:val="en-US" w:eastAsia="zh-CN" w:bidi="ar-SA"/>
    </w:rPr>
  </w:style>
  <w:style w:type="paragraph" w:customStyle="1" w:styleId="29">
    <w:name w:val="B图名"/>
    <w:basedOn w:val="1"/>
    <w:qFormat/>
    <w:uiPriority w:val="0"/>
    <w:pPr>
      <w:spacing w:afterLines="50"/>
      <w:jc w:val="center"/>
    </w:pPr>
    <w:rPr>
      <w:rFonts w:ascii="Times New Roman" w:hAnsi="Times New Roman" w:eastAsia="黑体"/>
      <w:kern w:val="0"/>
      <w:szCs w:val="24"/>
    </w:rPr>
  </w:style>
  <w:style w:type="paragraph" w:customStyle="1" w:styleId="30">
    <w:name w:val="样式 首行缩进:  2 字符"/>
    <w:basedOn w:val="1"/>
    <w:qFormat/>
    <w:uiPriority w:val="0"/>
    <w:pPr>
      <w:spacing w:line="360" w:lineRule="auto"/>
      <w:ind w:firstLine="480" w:firstLineChars="200"/>
    </w:pPr>
    <w:rPr>
      <w:rFonts w:cs="宋体"/>
      <w:sz w:val="24"/>
      <w:szCs w:val="20"/>
    </w:rPr>
  </w:style>
  <w:style w:type="paragraph" w:customStyle="1" w:styleId="31">
    <w:name w:val="B标题4"/>
    <w:basedOn w:val="9"/>
    <w:qFormat/>
    <w:uiPriority w:val="0"/>
    <w:pPr>
      <w:keepNext w:val="0"/>
      <w:keepLines w:val="0"/>
      <w:tabs>
        <w:tab w:val="left" w:pos="2880"/>
      </w:tabs>
      <w:spacing w:beforeLines="50" w:afterLines="50" w:line="240" w:lineRule="auto"/>
    </w:pPr>
    <w:rPr>
      <w:rFonts w:ascii="Times New Roman" w:hAnsi="Times New Roman" w:eastAsia="华文中宋" w:cs="Times New Roman"/>
      <w:kern w:val="0"/>
      <w:sz w:val="24"/>
    </w:rPr>
  </w:style>
  <w:style w:type="paragraph" w:customStyle="1" w:styleId="32">
    <w:name w:val="表格文字"/>
    <w:basedOn w:val="1"/>
    <w:qFormat/>
    <w:uiPriority w:val="0"/>
    <w:pPr>
      <w:adjustRightInd w:val="0"/>
      <w:snapToGrid w:val="0"/>
      <w:spacing w:line="240" w:lineRule="auto"/>
      <w:ind w:firstLine="0" w:firstLineChars="0"/>
      <w:jc w:val="center"/>
    </w:pPr>
    <w:rPr>
      <w:sz w:val="21"/>
    </w:rPr>
  </w:style>
  <w:style w:type="paragraph" w:customStyle="1" w:styleId="33">
    <w:name w:val="标题2"/>
    <w:next w:val="1"/>
    <w:qFormat/>
    <w:uiPriority w:val="0"/>
    <w:pPr>
      <w:spacing w:before="50" w:beforeLines="50" w:after="50" w:afterLines="50" w:line="360" w:lineRule="auto"/>
      <w:outlineLvl w:val="1"/>
    </w:pPr>
    <w:rPr>
      <w:rFonts w:ascii="Times New Roman" w:hAnsi="Times New Roman" w:eastAsia="宋体" w:cs="Times New Roman"/>
      <w:b/>
      <w:kern w:val="2"/>
      <w:sz w:val="30"/>
      <w:szCs w:val="24"/>
      <w:lang w:val="en-US" w:eastAsia="zh-CN" w:bidi="ar-SA"/>
    </w:rPr>
  </w:style>
  <w:style w:type="paragraph" w:customStyle="1" w:styleId="34">
    <w:name w:val="标题1"/>
    <w:next w:val="1"/>
    <w:qFormat/>
    <w:uiPriority w:val="0"/>
    <w:pPr>
      <w:spacing w:before="50" w:beforeLines="50" w:after="50" w:afterLines="50" w:line="360" w:lineRule="auto"/>
      <w:jc w:val="center"/>
      <w:outlineLvl w:val="0"/>
    </w:pPr>
    <w:rPr>
      <w:rFonts w:ascii="Times New Roman" w:hAnsi="Times New Roman" w:eastAsia="宋体" w:cs="Times New Roman"/>
      <w:b/>
      <w:kern w:val="2"/>
      <w:sz w:val="32"/>
      <w:szCs w:val="24"/>
      <w:lang w:val="en-US" w:eastAsia="zh-CN" w:bidi="ar-SA"/>
    </w:rPr>
  </w:style>
  <w:style w:type="paragraph" w:customStyle="1" w:styleId="35">
    <w:name w:val="Default"/>
    <w:qFormat/>
    <w:uiPriority w:val="0"/>
    <w:pPr>
      <w:widowControl w:val="0"/>
      <w:autoSpaceDE w:val="0"/>
      <w:autoSpaceDN w:val="0"/>
      <w:adjustRightInd w:val="0"/>
    </w:pPr>
    <w:rPr>
      <w:rFonts w:ascii="宋体" w:hAnsi="Times New Roman" w:eastAsia="宋体" w:cs="Arial"/>
      <w:color w:val="000000"/>
      <w:kern w:val="2"/>
      <w:sz w:val="24"/>
      <w:szCs w:val="24"/>
      <w:lang w:val="en-US" w:eastAsia="zh-CN" w:bidi="ar-SA"/>
    </w:rPr>
  </w:style>
  <w:style w:type="paragraph" w:customStyle="1" w:styleId="36">
    <w:name w:val="WPSOffice手动目录 1"/>
    <w:qFormat/>
    <w:uiPriority w:val="0"/>
    <w:pPr>
      <w:ind w:leftChars="0"/>
    </w:pPr>
    <w:rPr>
      <w:rFonts w:ascii="Times New Roman" w:hAnsi="Times New Roman" w:eastAsia="宋体" w:cs="Times New Roman"/>
      <w:sz w:val="20"/>
      <w:szCs w:val="20"/>
    </w:rPr>
  </w:style>
  <w:style w:type="paragraph" w:customStyle="1" w:styleId="37">
    <w:name w:val="WPSOffice手动目录 2"/>
    <w:qFormat/>
    <w:uiPriority w:val="0"/>
    <w:pPr>
      <w:ind w:leftChars="200"/>
    </w:pPr>
    <w:rPr>
      <w:rFonts w:ascii="Times New Roman" w:hAnsi="Times New Roman" w:eastAsia="宋体" w:cs="Times New Roman"/>
      <w:sz w:val="20"/>
      <w:szCs w:val="20"/>
    </w:rPr>
  </w:style>
  <w:style w:type="paragraph" w:customStyle="1" w:styleId="38">
    <w:name w:val="WPSOffice手动目录 3"/>
    <w:qFormat/>
    <w:uiPriority w:val="0"/>
    <w:pPr>
      <w:ind w:leftChars="400"/>
    </w:pPr>
    <w:rPr>
      <w:rFonts w:ascii="Times New Roman" w:hAnsi="Times New Roman" w:eastAsia="宋体" w:cs="Times New Roman"/>
      <w:sz w:val="20"/>
      <w:szCs w:val="20"/>
    </w:rPr>
  </w:style>
  <w:style w:type="paragraph" w:customStyle="1" w:styleId="39">
    <w:name w:val="正文(首行缩进)"/>
    <w:basedOn w:val="1"/>
    <w:qFormat/>
    <w:uiPriority w:val="0"/>
    <w:pPr>
      <w:spacing w:line="360" w:lineRule="auto"/>
      <w:ind w:firstLine="510"/>
    </w:pPr>
    <w:rPr>
      <w:rFonts w:ascii="Times New Roman" w:hAnsi="Times New Roman" w:eastAsia="宋体"/>
      <w:snapToGrid w:val="0"/>
      <w:kern w:val="0"/>
      <w:sz w:val="24"/>
      <w:szCs w:val="20"/>
    </w:rPr>
  </w:style>
  <w:style w:type="paragraph" w:customStyle="1" w:styleId="40">
    <w:name w:val="表格"/>
    <w:next w:val="1"/>
    <w:qFormat/>
    <w:uiPriority w:val="0"/>
    <w:pPr>
      <w:spacing w:line="300" w:lineRule="exact"/>
      <w:jc w:val="center"/>
    </w:pPr>
    <w:rPr>
      <w:rFonts w:ascii="宋体" w:hAnsi="宋体" w:eastAsia="宋体" w:cs="宋体"/>
      <w:sz w:val="21"/>
      <w:szCs w:val="28"/>
      <w:lang w:val="en-US" w:eastAsia="zh-CN" w:bidi="ar-SA"/>
    </w:rPr>
  </w:style>
  <w:style w:type="character" w:customStyle="1" w:styleId="41">
    <w:name w:val="font31"/>
    <w:basedOn w:val="17"/>
    <w:uiPriority w:val="0"/>
    <w:rPr>
      <w:rFonts w:hint="eastAsia" w:ascii="宋体" w:hAnsi="宋体" w:eastAsia="宋体" w:cs="宋体"/>
      <w:color w:val="000000"/>
      <w:sz w:val="21"/>
      <w:szCs w:val="21"/>
      <w:u w:val="none"/>
    </w:rPr>
  </w:style>
  <w:style w:type="character" w:customStyle="1" w:styleId="42">
    <w:name w:val="font11"/>
    <w:basedOn w:val="17"/>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7" Type="http://schemas.openxmlformats.org/officeDocument/2006/relationships/fontTable" Target="fontTable.xml"/><Relationship Id="rId86" Type="http://schemas.openxmlformats.org/officeDocument/2006/relationships/numbering" Target="numbering.xml"/><Relationship Id="rId85" Type="http://schemas.openxmlformats.org/officeDocument/2006/relationships/customXml" Target="../customXml/item1.xml"/><Relationship Id="rId84" Type="http://schemas.openxmlformats.org/officeDocument/2006/relationships/image" Target="media/image57.png"/><Relationship Id="rId83" Type="http://schemas.openxmlformats.org/officeDocument/2006/relationships/image" Target="media/image56.png"/><Relationship Id="rId82" Type="http://schemas.openxmlformats.org/officeDocument/2006/relationships/image" Target="media/image55.jpeg"/><Relationship Id="rId81" Type="http://schemas.openxmlformats.org/officeDocument/2006/relationships/image" Target="media/image54.jpeg"/><Relationship Id="rId80" Type="http://schemas.openxmlformats.org/officeDocument/2006/relationships/image" Target="media/image53.jpeg"/><Relationship Id="rId8" Type="http://schemas.openxmlformats.org/officeDocument/2006/relationships/image" Target="media/image4.png"/><Relationship Id="rId79" Type="http://schemas.openxmlformats.org/officeDocument/2006/relationships/image" Target="media/image52.jpeg"/><Relationship Id="rId78" Type="http://schemas.openxmlformats.org/officeDocument/2006/relationships/image" Target="media/image51.jpeg"/><Relationship Id="rId77" Type="http://schemas.openxmlformats.org/officeDocument/2006/relationships/image" Target="media/image50.wmf"/><Relationship Id="rId76" Type="http://schemas.openxmlformats.org/officeDocument/2006/relationships/oleObject" Target="embeddings/oleObject23.bin"/><Relationship Id="rId75" Type="http://schemas.openxmlformats.org/officeDocument/2006/relationships/image" Target="media/image49.wmf"/><Relationship Id="rId74" Type="http://schemas.openxmlformats.org/officeDocument/2006/relationships/oleObject" Target="embeddings/oleObject22.bin"/><Relationship Id="rId73" Type="http://schemas.openxmlformats.org/officeDocument/2006/relationships/image" Target="media/image48.wmf"/><Relationship Id="rId72" Type="http://schemas.openxmlformats.org/officeDocument/2006/relationships/oleObject" Target="embeddings/oleObject21.bin"/><Relationship Id="rId71" Type="http://schemas.openxmlformats.org/officeDocument/2006/relationships/image" Target="media/image47.wmf"/><Relationship Id="rId70" Type="http://schemas.openxmlformats.org/officeDocument/2006/relationships/oleObject" Target="embeddings/oleObject20.bin"/><Relationship Id="rId7" Type="http://schemas.openxmlformats.org/officeDocument/2006/relationships/image" Target="media/image3.png"/><Relationship Id="rId69" Type="http://schemas.openxmlformats.org/officeDocument/2006/relationships/image" Target="media/image46.wmf"/><Relationship Id="rId68" Type="http://schemas.openxmlformats.org/officeDocument/2006/relationships/oleObject" Target="embeddings/oleObject19.bin"/><Relationship Id="rId67" Type="http://schemas.openxmlformats.org/officeDocument/2006/relationships/image" Target="media/image45.wmf"/><Relationship Id="rId66" Type="http://schemas.openxmlformats.org/officeDocument/2006/relationships/oleObject" Target="embeddings/oleObject18.bin"/><Relationship Id="rId65" Type="http://schemas.openxmlformats.org/officeDocument/2006/relationships/image" Target="media/image44.wmf"/><Relationship Id="rId64" Type="http://schemas.openxmlformats.org/officeDocument/2006/relationships/oleObject" Target="embeddings/oleObject17.bin"/><Relationship Id="rId63" Type="http://schemas.openxmlformats.org/officeDocument/2006/relationships/image" Target="media/image43.wmf"/><Relationship Id="rId62" Type="http://schemas.openxmlformats.org/officeDocument/2006/relationships/oleObject" Target="embeddings/oleObject16.bin"/><Relationship Id="rId61" Type="http://schemas.openxmlformats.org/officeDocument/2006/relationships/image" Target="media/image42.wmf"/><Relationship Id="rId60" Type="http://schemas.openxmlformats.org/officeDocument/2006/relationships/oleObject" Target="embeddings/oleObject15.bin"/><Relationship Id="rId6" Type="http://schemas.openxmlformats.org/officeDocument/2006/relationships/image" Target="media/image2.jpeg"/><Relationship Id="rId59" Type="http://schemas.openxmlformats.org/officeDocument/2006/relationships/image" Target="media/image41.wmf"/><Relationship Id="rId58" Type="http://schemas.openxmlformats.org/officeDocument/2006/relationships/oleObject" Target="embeddings/oleObject14.bin"/><Relationship Id="rId57" Type="http://schemas.openxmlformats.org/officeDocument/2006/relationships/image" Target="media/image40.wmf"/><Relationship Id="rId56" Type="http://schemas.openxmlformats.org/officeDocument/2006/relationships/oleObject" Target="embeddings/oleObject13.bin"/><Relationship Id="rId55" Type="http://schemas.openxmlformats.org/officeDocument/2006/relationships/image" Target="media/image39.wmf"/><Relationship Id="rId54" Type="http://schemas.openxmlformats.org/officeDocument/2006/relationships/oleObject" Target="embeddings/oleObject12.bin"/><Relationship Id="rId53" Type="http://schemas.openxmlformats.org/officeDocument/2006/relationships/image" Target="media/image38.wmf"/><Relationship Id="rId52" Type="http://schemas.openxmlformats.org/officeDocument/2006/relationships/oleObject" Target="embeddings/oleObject11.bin"/><Relationship Id="rId51" Type="http://schemas.openxmlformats.org/officeDocument/2006/relationships/image" Target="media/image37.wmf"/><Relationship Id="rId50" Type="http://schemas.openxmlformats.org/officeDocument/2006/relationships/oleObject" Target="embeddings/oleObject10.bin"/><Relationship Id="rId5" Type="http://schemas.openxmlformats.org/officeDocument/2006/relationships/image" Target="media/image1.png"/><Relationship Id="rId49" Type="http://schemas.openxmlformats.org/officeDocument/2006/relationships/image" Target="media/image36.wmf"/><Relationship Id="rId48" Type="http://schemas.openxmlformats.org/officeDocument/2006/relationships/oleObject" Target="embeddings/oleObject9.bin"/><Relationship Id="rId47" Type="http://schemas.openxmlformats.org/officeDocument/2006/relationships/image" Target="media/image35.wmf"/><Relationship Id="rId46" Type="http://schemas.openxmlformats.org/officeDocument/2006/relationships/oleObject" Target="embeddings/oleObject8.bin"/><Relationship Id="rId45" Type="http://schemas.openxmlformats.org/officeDocument/2006/relationships/image" Target="media/image34.wmf"/><Relationship Id="rId44" Type="http://schemas.openxmlformats.org/officeDocument/2006/relationships/oleObject" Target="embeddings/oleObject7.bin"/><Relationship Id="rId43" Type="http://schemas.openxmlformats.org/officeDocument/2006/relationships/image" Target="media/image33.wmf"/><Relationship Id="rId42" Type="http://schemas.openxmlformats.org/officeDocument/2006/relationships/oleObject" Target="embeddings/oleObject6.bin"/><Relationship Id="rId41" Type="http://schemas.openxmlformats.org/officeDocument/2006/relationships/image" Target="media/image32.wmf"/><Relationship Id="rId40" Type="http://schemas.openxmlformats.org/officeDocument/2006/relationships/oleObject" Target="embeddings/oleObject5.bin"/><Relationship Id="rId4" Type="http://schemas.openxmlformats.org/officeDocument/2006/relationships/theme" Target="theme/theme1.xml"/><Relationship Id="rId39" Type="http://schemas.openxmlformats.org/officeDocument/2006/relationships/image" Target="media/image31.wmf"/><Relationship Id="rId38" Type="http://schemas.openxmlformats.org/officeDocument/2006/relationships/oleObject" Target="embeddings/oleObject4.bin"/><Relationship Id="rId37" Type="http://schemas.openxmlformats.org/officeDocument/2006/relationships/image" Target="media/image30.wmf"/><Relationship Id="rId36" Type="http://schemas.openxmlformats.org/officeDocument/2006/relationships/oleObject" Target="embeddings/oleObject3.bin"/><Relationship Id="rId35" Type="http://schemas.openxmlformats.org/officeDocument/2006/relationships/image" Target="media/image29.wmf"/><Relationship Id="rId34" Type="http://schemas.openxmlformats.org/officeDocument/2006/relationships/oleObject" Target="embeddings/oleObject2.bin"/><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wmf"/><Relationship Id="rId30" Type="http://schemas.openxmlformats.org/officeDocument/2006/relationships/image" Target="media/image25.wmf"/><Relationship Id="rId3" Type="http://schemas.openxmlformats.org/officeDocument/2006/relationships/footer" Target="footer1.xml"/><Relationship Id="rId29" Type="http://schemas.openxmlformats.org/officeDocument/2006/relationships/image" Target="media/image24.wmf"/><Relationship Id="rId28" Type="http://schemas.openxmlformats.org/officeDocument/2006/relationships/image" Target="media/image23.wmf"/><Relationship Id="rId27" Type="http://schemas.openxmlformats.org/officeDocument/2006/relationships/image" Target="media/image22.wmf"/><Relationship Id="rId26" Type="http://schemas.openxmlformats.org/officeDocument/2006/relationships/image" Target="media/image21.wmf"/><Relationship Id="rId25" Type="http://schemas.openxmlformats.org/officeDocument/2006/relationships/image" Target="media/image20.wmf"/><Relationship Id="rId24" Type="http://schemas.openxmlformats.org/officeDocument/2006/relationships/image" Target="media/image19.wmf"/><Relationship Id="rId23" Type="http://schemas.openxmlformats.org/officeDocument/2006/relationships/image" Target="media/image18.wmf"/><Relationship Id="rId22" Type="http://schemas.openxmlformats.org/officeDocument/2006/relationships/image" Target="media/image17.wmf"/><Relationship Id="rId21" Type="http://schemas.openxmlformats.org/officeDocument/2006/relationships/image" Target="media/image16.wmf"/><Relationship Id="rId20" Type="http://schemas.openxmlformats.org/officeDocument/2006/relationships/image" Target="media/image15.wmf"/><Relationship Id="rId2" Type="http://schemas.openxmlformats.org/officeDocument/2006/relationships/settings" Target="settings.xml"/><Relationship Id="rId19" Type="http://schemas.openxmlformats.org/officeDocument/2006/relationships/image" Target="media/image14.wmf"/><Relationship Id="rId18" Type="http://schemas.openxmlformats.org/officeDocument/2006/relationships/image" Target="media/image13.wmf"/><Relationship Id="rId17" Type="http://schemas.openxmlformats.org/officeDocument/2006/relationships/image" Target="media/image12.wmf"/><Relationship Id="rId16" Type="http://schemas.openxmlformats.org/officeDocument/2006/relationships/image" Target="media/image11.wmf"/><Relationship Id="rId15" Type="http://schemas.openxmlformats.org/officeDocument/2006/relationships/image" Target="media/image10.wmf"/><Relationship Id="rId14" Type="http://schemas.openxmlformats.org/officeDocument/2006/relationships/oleObject" Target="embeddings/oleObject1.bin"/><Relationship Id="rId13" Type="http://schemas.openxmlformats.org/officeDocument/2006/relationships/image" Target="media/image9.wmf"/><Relationship Id="rId12" Type="http://schemas.openxmlformats.org/officeDocument/2006/relationships/image" Target="media/image8.wmf"/><Relationship Id="rId11" Type="http://schemas.openxmlformats.org/officeDocument/2006/relationships/image" Target="media/image7.wmf"/><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2021-08-11T00:53:00Z</dcterms:created>
  <dc:creator>(~0~)</dc:creator>
  <cp:lastModifiedBy>(~0~)</cp:lastModifiedBy>
  <cp:lastPrinted>2021-08-11T01:37:00Z</cp:lastPrinted>
  <dcterms:modified xsi:type="dcterms:W3CDTF">2021-10-12T07:49:53Z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39DBD463B2D84B5C88E0B0DEA135614F</vt:lpwstr>
  </property>
</Properties>
</file>